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4FC9" w14:textId="77777777" w:rsidR="00104B87" w:rsidRPr="00D266B1" w:rsidRDefault="006D1928" w:rsidP="000177EF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7552757"/>
      <w:r>
        <w:rPr>
          <w:rFonts w:ascii="Times New Roman" w:hAnsi="Times New Roman" w:cs="Times New Roman"/>
          <w:b/>
          <w:bCs/>
          <w:sz w:val="24"/>
          <w:szCs w:val="24"/>
        </w:rPr>
        <w:t>HD001</w:t>
      </w:r>
      <w:r w:rsidR="00E828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Mẫu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4B87" w:rsidRPr="00D266B1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104B87"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4B87" w:rsidRPr="00D266B1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104B87"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b/>
          <w:bCs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b/>
          <w:bCs/>
          <w:sz w:val="24"/>
          <w:szCs w:val="24"/>
        </w:rPr>
        <w:t>danh</w:t>
      </w:r>
      <w:proofErr w:type="spellEnd"/>
      <w:r w:rsidR="00104B87"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4B87" w:rsidRPr="00D266B1">
        <w:rPr>
          <w:rFonts w:ascii="Times New Roman" w:hAnsi="Times New Roman" w:cs="Times New Roman"/>
          <w:b/>
          <w:bCs/>
          <w:sz w:val="24"/>
          <w:szCs w:val="24"/>
        </w:rPr>
        <w:t>Quốc</w:t>
      </w:r>
      <w:proofErr w:type="spellEnd"/>
      <w:r w:rsidR="00104B87"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4B87" w:rsidRPr="00D266B1">
        <w:rPr>
          <w:rFonts w:ascii="Times New Roman" w:hAnsi="Times New Roman" w:cs="Times New Roman"/>
          <w:b/>
          <w:bCs/>
          <w:sz w:val="24"/>
          <w:szCs w:val="24"/>
        </w:rPr>
        <w:t>tế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672E" w14:paraId="66BFABB4" w14:textId="77777777" w:rsidTr="00FA672E">
        <w:tc>
          <w:tcPr>
            <w:tcW w:w="9350" w:type="dxa"/>
          </w:tcPr>
          <w:bookmarkEnd w:id="0"/>
          <w:p w14:paraId="3CE9F6F2" w14:textId="77777777" w:rsidR="00FA672E" w:rsidRPr="00D266B1" w:rsidRDefault="00FA672E" w:rsidP="000177EF">
            <w:pPr>
              <w:spacing w:after="120" w:line="276" w:lineRule="auto"/>
              <w:ind w:left="171" w:right="1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6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Giới</w:t>
            </w:r>
            <w:proofErr w:type="spellEnd"/>
            <w:r w:rsidRPr="00D26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thiệu</w:t>
            </w:r>
            <w:proofErr w:type="spellEnd"/>
          </w:p>
          <w:p w14:paraId="76B383D8" w14:textId="447661F0" w:rsidR="00FA672E" w:rsidRPr="00D266B1" w:rsidRDefault="00FA672E" w:rsidP="000177EF">
            <w:pPr>
              <w:spacing w:after="120" w:line="276" w:lineRule="auto"/>
              <w:ind w:left="171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bCs/>
                <w:sz w:val="24"/>
                <w:szCs w:val="24"/>
              </w:rPr>
              <w:t>danh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hay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giữa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hai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bên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mà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một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thực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doanh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nào</w:t>
            </w:r>
            <w:proofErr w:type="spellEnd"/>
            <w:r w:rsidRPr="00E34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FD5DED1" w14:textId="29F2775C" w:rsidR="00FA672E" w:rsidRPr="00E34CFF" w:rsidRDefault="00FA672E" w:rsidP="000177EF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594" w:right="170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loạt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chuỗi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tùy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vậy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đang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D1E0C1" w14:textId="7EC6E4E4" w:rsidR="00FA672E" w:rsidRPr="00D266B1" w:rsidRDefault="00FA672E" w:rsidP="000177EF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594" w:right="170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nhằm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rằng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A80402" w14:textId="55D9DD70" w:rsidR="00FA672E" w:rsidRPr="00D266B1" w:rsidRDefault="00FA672E" w:rsidP="000177EF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594" w:right="170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sẽ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phân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bổ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50-50.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góp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ngay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qua Ban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0E0A1" w14:textId="2210FA70" w:rsidR="001604CD" w:rsidRPr="00D266B1" w:rsidRDefault="00FA672E" w:rsidP="000177EF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594" w:right="170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rằng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r w:rsidR="001604CD">
              <w:rPr>
                <w:rFonts w:ascii="Times New Roman" w:hAnsi="Times New Roman" w:cs="Times New Roman"/>
                <w:iCs/>
                <w:sz w:val="24"/>
                <w:szCs w:val="24"/>
              </w:rPr>
              <w:t>ỗ</w:t>
            </w:r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bên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đều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có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phần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trách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nhiệm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cụ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thể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góp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, cam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521CFB" w14:textId="1CC30144" w:rsidR="00FA672E" w:rsidRPr="00E34CFF" w:rsidRDefault="00FA672E" w:rsidP="000177EF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594" w:right="170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chia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sẻ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bí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quyết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phát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triển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kỹ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thuật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li-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xăng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2EAD84" w14:textId="006471FC" w:rsidR="00FA672E" w:rsidRPr="00D266B1" w:rsidRDefault="00FA672E" w:rsidP="000177EF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594" w:right="170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? Hay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417049" w14:textId="424F61BB" w:rsidR="001604CD" w:rsidRDefault="00FA672E" w:rsidP="000177EF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594" w:right="170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iCs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iCs/>
                <w:sz w:val="24"/>
                <w:szCs w:val="24"/>
              </w:rPr>
              <w:t>danh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theo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đồng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thường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không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liên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quan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đến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việc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hình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thành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một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kinh</w:t>
            </w:r>
            <w:proofErr w:type="spellEnd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iCs/>
                <w:sz w:val="24"/>
                <w:szCs w:val="24"/>
              </w:rPr>
              <w:t>doanh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nhuật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sẻ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nhuận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sẻ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nhuận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ý (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thuế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(ii)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nguy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chịu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đới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nại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(do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gây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ra)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D26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0B7F7F" w14:textId="3C49DA1D" w:rsidR="001604CD" w:rsidRPr="00E34CFF" w:rsidRDefault="001604CD" w:rsidP="000177EF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594" w:right="170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nhuận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E34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C4FA35" w14:textId="7A650E88" w:rsidR="00FA672E" w:rsidRPr="00E34CFF" w:rsidRDefault="00B56EA4" w:rsidP="000177EF">
            <w:pPr>
              <w:tabs>
                <w:tab w:val="left" w:pos="551"/>
              </w:tabs>
              <w:spacing w:after="120" w:line="276" w:lineRule="auto"/>
              <w:ind w:left="171" w:right="1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khung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Liên</w:t>
            </w:r>
            <w:proofErr w:type="spellEnd"/>
            <w:r w:rsidR="00E34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34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thể</w:t>
            </w:r>
            <w:proofErr w:type="spellEnd"/>
            <w:r w:rsidR="00762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145BF11" w14:textId="77777777" w:rsidR="00C5140B" w:rsidRDefault="00C5140B" w:rsidP="000177EF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C0EF2" w14:textId="2BBFBA41" w:rsidR="00104B87" w:rsidRDefault="00104B87" w:rsidP="000177EF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6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HỢP ĐỒNG </w:t>
      </w:r>
      <w:r w:rsidR="00E34CFF">
        <w:rPr>
          <w:rFonts w:ascii="Times New Roman" w:hAnsi="Times New Roman" w:cs="Times New Roman"/>
          <w:b/>
          <w:bCs/>
          <w:sz w:val="24"/>
          <w:szCs w:val="24"/>
        </w:rPr>
        <w:t>LIÊN DANH</w:t>
      </w:r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QUỐC TẾ</w:t>
      </w:r>
    </w:p>
    <w:p w14:paraId="42852E21" w14:textId="77777777" w:rsidR="00762C2A" w:rsidRPr="00D266B1" w:rsidRDefault="00762C2A" w:rsidP="000177EF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643F0" w14:textId="77777777" w:rsidR="00104B87" w:rsidRPr="00E34CFF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4CFF">
        <w:rPr>
          <w:rFonts w:ascii="Times New Roman" w:hAnsi="Times New Roman" w:cs="Times New Roman"/>
          <w:b/>
          <w:bCs/>
          <w:iCs/>
          <w:sz w:val="24"/>
          <w:szCs w:val="24"/>
        </w:rPr>
        <w:t>CÁC BÊN:</w:t>
      </w:r>
    </w:p>
    <w:p w14:paraId="059928DB" w14:textId="39B2BCCD" w:rsidR="00104B87" w:rsidRPr="00E34CFF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E34CF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E34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b/>
          <w:sz w:val="24"/>
          <w:szCs w:val="24"/>
        </w:rPr>
        <w:t xml:space="preserve"> ty)</w:t>
      </w:r>
    </w:p>
    <w:p w14:paraId="10E41CA5" w14:textId="5F9DD9AC" w:rsidR="00104B87" w:rsidRPr="00D266B1" w:rsidRDefault="008324E6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554949"/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bookmarkEnd w:id="1"/>
    <w:p w14:paraId="5FC104CA" w14:textId="665464DC" w:rsidR="00104B87" w:rsidRPr="00D266B1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)</w:t>
      </w:r>
      <w:r w:rsidR="0012288F">
        <w:rPr>
          <w:rFonts w:ascii="Times New Roman" w:hAnsi="Times New Roman" w:cs="Times New Roman"/>
          <w:sz w:val="24"/>
          <w:szCs w:val="24"/>
        </w:rPr>
        <w:t>:</w:t>
      </w:r>
    </w:p>
    <w:p w14:paraId="174A3CCB" w14:textId="45B47240" w:rsidR="00104B87" w:rsidRPr="00D266B1" w:rsidRDefault="008324E6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AE1B22C" w14:textId="28B09280" w:rsidR="00104B87" w:rsidRPr="00D266B1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12288F">
        <w:rPr>
          <w:rFonts w:ascii="Times New Roman" w:hAnsi="Times New Roman" w:cs="Times New Roman"/>
          <w:sz w:val="24"/>
          <w:szCs w:val="24"/>
        </w:rPr>
        <w:t>:</w:t>
      </w:r>
    </w:p>
    <w:p w14:paraId="3E4D4017" w14:textId="368FE821" w:rsidR="00104B87" w:rsidRPr="00D266B1" w:rsidRDefault="008324E6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F7CEDF8" w14:textId="34A0988F" w:rsidR="00104B87" w:rsidRPr="00D266B1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55F139E8" w14:textId="49C8FC86" w:rsidR="008324E6" w:rsidRPr="00D266B1" w:rsidRDefault="008324E6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0097680" w14:textId="3E8C85E9" w:rsidR="00104B87" w:rsidRPr="00D266B1" w:rsidRDefault="008324E6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6C20E79" w14:textId="5613CA17" w:rsidR="00104B87" w:rsidRPr="00D266B1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)</w:t>
      </w:r>
    </w:p>
    <w:p w14:paraId="32BFC702" w14:textId="2FF9FE55" w:rsidR="008324E6" w:rsidRPr="00D266B1" w:rsidRDefault="008324E6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03CBA08" w14:textId="249ECFAF" w:rsidR="00104B87" w:rsidRPr="00D266B1" w:rsidRDefault="008324E6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022A517" w14:textId="77777777" w:rsidR="008324E6" w:rsidRPr="00D266B1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6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Sau </w:t>
      </w:r>
      <w:proofErr w:type="spellStart"/>
      <w:r w:rsidRPr="00D26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đây</w:t>
      </w:r>
      <w:proofErr w:type="spellEnd"/>
      <w:r w:rsidRPr="00D26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gọi</w:t>
      </w:r>
      <w:proofErr w:type="spellEnd"/>
      <w:r w:rsidRPr="00D26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“ABC” </w:t>
      </w:r>
    </w:p>
    <w:p w14:paraId="39A09831" w14:textId="77777777" w:rsidR="00762C2A" w:rsidRDefault="00762C2A" w:rsidP="000177EF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CE32D" w14:textId="68A5BF16" w:rsidR="0012288F" w:rsidRPr="00A5100C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100C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A5100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5100C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A5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00C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A5100C">
        <w:rPr>
          <w:rFonts w:ascii="Times New Roman" w:hAnsi="Times New Roman" w:cs="Times New Roman"/>
          <w:b/>
          <w:sz w:val="24"/>
          <w:szCs w:val="24"/>
        </w:rPr>
        <w:t xml:space="preserve"> ty)</w:t>
      </w:r>
    </w:p>
    <w:p w14:paraId="7693FDBA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679B43F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04891D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70CE82B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53369CC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06EAF73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314D7751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3E71C2C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430765F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)</w:t>
      </w:r>
    </w:p>
    <w:p w14:paraId="623A0D6A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8217711" w14:textId="77777777" w:rsidR="0012288F" w:rsidRPr="00D266B1" w:rsidRDefault="0012288F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DD5ED97" w14:textId="77777777" w:rsidR="00104B87" w:rsidRPr="00D266B1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Sau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đây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“XYZ"</w:t>
      </w:r>
    </w:p>
    <w:p w14:paraId="6A9C800A" w14:textId="08CD97D6" w:rsidR="00C23279" w:rsidRPr="00D266B1" w:rsidRDefault="00104B87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 xml:space="preserve">ABC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XYZ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".</w:t>
      </w:r>
    </w:p>
    <w:p w14:paraId="68D3670B" w14:textId="77777777" w:rsidR="008324E6" w:rsidRPr="00E34CFF" w:rsidRDefault="00C23279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lastRenderedPageBreak/>
        <w:t>[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tin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mã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thuế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chính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104B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716F7954" w14:textId="24ABAB32" w:rsidR="008324E6" w:rsidRPr="00D266B1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Bối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chung</w:t>
      </w:r>
      <w:proofErr w:type="spellEnd"/>
    </w:p>
    <w:p w14:paraId="50E19EF2" w14:textId="6F392A99" w:rsidR="008324E6" w:rsidRPr="00D266B1" w:rsidRDefault="00804B0D" w:rsidP="000177EF">
      <w:pPr>
        <w:pStyle w:val="ListParagraph"/>
        <w:numPr>
          <w:ilvl w:val="0"/>
          <w:numId w:val="5"/>
        </w:numPr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 xml:space="preserve">ABC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ở </w:t>
      </w:r>
      <w:r w:rsidR="008324E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="008324E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8324E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C4356E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;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34CF18D0" w14:textId="5589E0EA" w:rsidR="008324E6" w:rsidRPr="007B6A0B" w:rsidRDefault="00804B0D" w:rsidP="000177EF">
      <w:pPr>
        <w:pStyle w:val="ListParagraph"/>
        <w:numPr>
          <w:ilvl w:val="0"/>
          <w:numId w:val="5"/>
        </w:numPr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 xml:space="preserve">XYZ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ở </w:t>
      </w:r>
      <w:r w:rsidR="008324E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="008324E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8324E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C4356E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;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41C37A96" w14:textId="12EDBB1D" w:rsidR="00804B0D" w:rsidRPr="00D266B1" w:rsidRDefault="00804B0D" w:rsidP="000177EF">
      <w:pPr>
        <w:pStyle w:val="ListParagraph"/>
        <w:numPr>
          <w:ilvl w:val="0"/>
          <w:numId w:val="5"/>
        </w:numPr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="008324E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.</w:t>
      </w:r>
    </w:p>
    <w:p w14:paraId="41EF37B4" w14:textId="77777777" w:rsidR="0012288F" w:rsidRDefault="0012288F" w:rsidP="000177EF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42AF2D" w14:textId="0A371808" w:rsidR="00804B0D" w:rsidRPr="00D266B1" w:rsidRDefault="00C5140B" w:rsidP="000177EF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CÁC ĐIỀU KHOẢN </w:t>
      </w:r>
      <w:r w:rsidR="00583D5B">
        <w:rPr>
          <w:rFonts w:ascii="Times New Roman" w:hAnsi="Times New Roman" w:cs="Times New Roman"/>
          <w:b/>
          <w:bCs/>
          <w:sz w:val="24"/>
          <w:szCs w:val="24"/>
        </w:rPr>
        <w:t>HỢP ĐỒNG</w:t>
      </w:r>
    </w:p>
    <w:p w14:paraId="30D5B5B7" w14:textId="6974F404" w:rsidR="00804B0D" w:rsidRPr="00E34CFF" w:rsidRDefault="00804B0D" w:rsidP="000177EF">
      <w:pPr>
        <w:pStyle w:val="ListParagraph"/>
        <w:numPr>
          <w:ilvl w:val="1"/>
          <w:numId w:val="5"/>
        </w:numPr>
        <w:tabs>
          <w:tab w:val="left" w:pos="567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b/>
          <w:bCs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b/>
          <w:bCs/>
          <w:sz w:val="24"/>
          <w:szCs w:val="24"/>
        </w:rPr>
        <w:t>đích</w:t>
      </w:r>
      <w:proofErr w:type="spellEnd"/>
      <w:r w:rsidRP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b/>
          <w:bCs/>
          <w:sz w:val="24"/>
          <w:szCs w:val="24"/>
        </w:rPr>
        <w:t>nguyên</w:t>
      </w:r>
      <w:proofErr w:type="spellEnd"/>
      <w:r w:rsidRP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b/>
          <w:bCs/>
          <w:sz w:val="24"/>
          <w:szCs w:val="24"/>
        </w:rPr>
        <w:t>tắc</w:t>
      </w:r>
      <w:proofErr w:type="spellEnd"/>
      <w:r w:rsidRP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b/>
          <w:bCs/>
          <w:sz w:val="24"/>
          <w:szCs w:val="24"/>
        </w:rPr>
        <w:t>yếu</w:t>
      </w:r>
      <w:proofErr w:type="spellEnd"/>
    </w:p>
    <w:p w14:paraId="11A8F231" w14:textId="48F91EE6" w:rsidR="00804B0D" w:rsidRPr="00E34CFF" w:rsidRDefault="00804B0D" w:rsidP="000177EF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r w:rsidR="00D828C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D828CD">
        <w:rPr>
          <w:rFonts w:ascii="Times New Roman" w:hAnsi="Times New Roman" w:cs="Times New Roman"/>
          <w:sz w:val="24"/>
          <w:szCs w:val="24"/>
        </w:rPr>
        <w:t>”</w:t>
      </w:r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:</w:t>
      </w:r>
    </w:p>
    <w:p w14:paraId="4977E6A6" w14:textId="63724516" w:rsidR="008324E6" w:rsidRPr="00E34CFF" w:rsidRDefault="00804B0D" w:rsidP="000177EF">
      <w:pPr>
        <w:spacing w:after="120" w:line="276" w:lineRule="auto"/>
        <w:ind w:firstLine="567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Liệt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kê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chính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. Sau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đây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vài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ví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:</w:t>
      </w:r>
    </w:p>
    <w:p w14:paraId="4C1BA572" w14:textId="18EBB584" w:rsidR="00232F7E" w:rsidRPr="00E34CFF" w:rsidRDefault="00804B0D" w:rsidP="000177EF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ABC</w:t>
      </w:r>
      <w:r w:rsidR="008324E6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="00D52037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sz w:val="24"/>
          <w:szCs w:val="24"/>
        </w:rPr>
        <w:t>......</w:t>
      </w:r>
      <w:r w:rsidR="00D52037">
        <w:rPr>
          <w:rFonts w:ascii="Times New Roman" w:hAnsi="Times New Roman" w:cs="Times New Roman"/>
          <w:sz w:val="24"/>
          <w:szCs w:val="24"/>
        </w:rPr>
        <w:t>.....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8324E6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D52037">
        <w:rPr>
          <w:rFonts w:ascii="Times New Roman" w:hAnsi="Times New Roman" w:cs="Times New Roman"/>
          <w:sz w:val="24"/>
          <w:szCs w:val="24"/>
        </w:rPr>
        <w:t>…………….;</w:t>
      </w:r>
    </w:p>
    <w:p w14:paraId="7A74814D" w14:textId="176D46A5" w:rsidR="00D52037" w:rsidRPr="00E34CFF" w:rsidRDefault="00804B0D" w:rsidP="000177EF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="008324E6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="008324E6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...</w:t>
      </w:r>
      <w:r w:rsidR="001C2F83">
        <w:rPr>
          <w:rFonts w:ascii="Times New Roman" w:hAnsi="Times New Roman" w:cs="Times New Roman"/>
          <w:sz w:val="24"/>
          <w:szCs w:val="24"/>
        </w:rPr>
        <w:t>;</w:t>
      </w:r>
    </w:p>
    <w:p w14:paraId="3DEC571A" w14:textId="50C7F044" w:rsidR="00D52037" w:rsidRPr="00E34CFF" w:rsidRDefault="00804B0D" w:rsidP="000177EF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D81826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D8182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cân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nhắc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phối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D8182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nghệ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phẩm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="00D8182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];</w:t>
      </w:r>
    </w:p>
    <w:p w14:paraId="1DFE9C66" w14:textId="6D295BF1" w:rsidR="00D81826" w:rsidRPr="00E34CFF" w:rsidRDefault="00804B0D" w:rsidP="000177EF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D81826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</w:t>
      </w:r>
      <w:r w:rsidR="00D52037">
        <w:rPr>
          <w:rFonts w:ascii="Times New Roman" w:hAnsi="Times New Roman" w:cs="Times New Roman"/>
          <w:sz w:val="24"/>
          <w:szCs w:val="24"/>
        </w:rPr>
        <w:t>ê</w:t>
      </w:r>
      <w:r w:rsidRPr="00E34CF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73E72DB8" w14:textId="06C75817" w:rsidR="00D52037" w:rsidRPr="00D266B1" w:rsidRDefault="00804B0D" w:rsidP="000177EF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FEBC36" w14:textId="7B7A4C41" w:rsidR="00804B0D" w:rsidRPr="00E34CFF" w:rsidRDefault="00804B0D" w:rsidP="000177EF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bố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"Bao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gồm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116F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đích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hoạch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-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lục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"</w:t>
      </w:r>
      <w:r w:rsidR="00D81826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40873105" w14:textId="1504BDA0" w:rsidR="00804B0D" w:rsidRPr="00D266B1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Ban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lý</w:t>
      </w:r>
      <w:proofErr w:type="spellEnd"/>
    </w:p>
    <w:p w14:paraId="1D706649" w14:textId="1DCC5F5D" w:rsidR="00804B0D" w:rsidRPr="00E34CFF" w:rsidRDefault="00804B0D" w:rsidP="000177EF">
      <w:pPr>
        <w:pStyle w:val="ListParagraph"/>
        <w:numPr>
          <w:ilvl w:val="1"/>
          <w:numId w:val="1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("Ban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1C2F83">
        <w:rPr>
          <w:rFonts w:ascii="Times New Roman" w:hAnsi="Times New Roman" w:cs="Times New Roman"/>
          <w:sz w:val="24"/>
          <w:szCs w:val="24"/>
        </w:rPr>
        <w:t>”</w:t>
      </w:r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:</w:t>
      </w:r>
    </w:p>
    <w:p w14:paraId="0590CD5A" w14:textId="6B21523B" w:rsidR="00D81826" w:rsidRPr="00E34CFF" w:rsidRDefault="00D52037" w:rsidP="000177EF">
      <w:pPr>
        <w:spacing w:after="120" w:line="276" w:lineRule="auto"/>
        <w:ind w:firstLine="567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</w:t>
      </w:r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iệt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kê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vai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trò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Ban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quản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lý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. Sau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đây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là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một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số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ví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</w:t>
      </w:r>
      <w:proofErr w:type="spellEnd"/>
      <w:r w:rsidR="00804B0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: </w:t>
      </w:r>
    </w:p>
    <w:p w14:paraId="0A418F0A" w14:textId="44732F1A" w:rsidR="0074596D" w:rsidRPr="00E34CFF" w:rsidRDefault="00804B0D" w:rsidP="000177EF">
      <w:pPr>
        <w:pStyle w:val="ListParagraph"/>
        <w:numPr>
          <w:ilvl w:val="2"/>
          <w:numId w:val="1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;</w:t>
      </w:r>
    </w:p>
    <w:p w14:paraId="03B7DBDB" w14:textId="2FBC6BFE" w:rsidR="0074596D" w:rsidRPr="00E34CFF" w:rsidRDefault="00804B0D" w:rsidP="000177EF">
      <w:pPr>
        <w:pStyle w:val="ListParagraph"/>
        <w:numPr>
          <w:ilvl w:val="2"/>
          <w:numId w:val="1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Phê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duyệt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tri</w:t>
      </w:r>
      <w:r w:rsidR="00D81826" w:rsidRPr="00E34CFF">
        <w:rPr>
          <w:rFonts w:ascii="Times New Roman" w:hAnsi="Times New Roman" w:cs="Times New Roman"/>
          <w:iCs/>
          <w:sz w:val="24"/>
          <w:szCs w:val="24"/>
        </w:rPr>
        <w:t>ển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kh</w:t>
      </w:r>
      <w:r w:rsidRPr="00E34CFF">
        <w:rPr>
          <w:rFonts w:ascii="Times New Roman" w:hAnsi="Times New Roman" w:cs="Times New Roman"/>
          <w:iCs/>
          <w:sz w:val="24"/>
          <w:szCs w:val="24"/>
        </w:rPr>
        <w:t>ai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Cs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Cs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bao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gồm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cam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vốn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B</w:t>
      </w:r>
      <w:r w:rsidRPr="00E34CFF">
        <w:rPr>
          <w:rFonts w:ascii="Times New Roman" w:hAnsi="Times New Roman" w:cs="Times New Roman"/>
          <w:iCs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p</w:t>
      </w:r>
      <w:r w:rsidR="00D81826" w:rsidRPr="00E34CFF">
        <w:rPr>
          <w:rFonts w:ascii="Times New Roman" w:hAnsi="Times New Roman" w:cs="Times New Roman"/>
          <w:iCs/>
          <w:sz w:val="24"/>
          <w:szCs w:val="24"/>
        </w:rPr>
        <w:t>hê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duyệt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này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>;</w:t>
      </w:r>
    </w:p>
    <w:p w14:paraId="43FF7238" w14:textId="6A87C703" w:rsidR="0074596D" w:rsidRPr="00E34CFF" w:rsidRDefault="00804B0D" w:rsidP="000177EF">
      <w:pPr>
        <w:pStyle w:val="ListParagraph"/>
        <w:numPr>
          <w:ilvl w:val="2"/>
          <w:numId w:val="1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</w:t>
      </w:r>
      <w:r w:rsidR="00D81826" w:rsidRPr="00E34CFF">
        <w:rPr>
          <w:rFonts w:ascii="Times New Roman" w:hAnsi="Times New Roman" w:cs="Times New Roman"/>
          <w:iCs/>
          <w:sz w:val="24"/>
          <w:szCs w:val="24"/>
        </w:rPr>
        <w:t>ưa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ra</w:t>
      </w:r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đánh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tiến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tri</w:t>
      </w:r>
      <w:r w:rsidR="00D81826" w:rsidRPr="00E34CFF">
        <w:rPr>
          <w:rFonts w:ascii="Times New Roman" w:hAnsi="Times New Roman" w:cs="Times New Roman"/>
          <w:iCs/>
          <w:sz w:val="24"/>
          <w:szCs w:val="24"/>
        </w:rPr>
        <w:t>ển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Cs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Cs/>
          <w:sz w:val="24"/>
          <w:szCs w:val="24"/>
        </w:rPr>
        <w:t>danh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>;</w:t>
      </w:r>
    </w:p>
    <w:p w14:paraId="2431E778" w14:textId="468F895D" w:rsidR="0074596D" w:rsidRPr="00E34CFF" w:rsidRDefault="00804B0D" w:rsidP="000177EF">
      <w:pPr>
        <w:pStyle w:val="ListParagraph"/>
        <w:numPr>
          <w:ilvl w:val="2"/>
          <w:numId w:val="1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Xác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nguồn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phục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Cs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Cs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thống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nhất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nhiệt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nguồn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lực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đó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>;</w:t>
      </w:r>
    </w:p>
    <w:p w14:paraId="46DB7E91" w14:textId="6D156367" w:rsidR="0074596D" w:rsidRPr="00E34CFF" w:rsidRDefault="00804B0D" w:rsidP="000177EF">
      <w:pPr>
        <w:pStyle w:val="ListParagraph"/>
        <w:numPr>
          <w:ilvl w:val="2"/>
          <w:numId w:val="1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Đảm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tin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giữa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Bên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d</w:t>
      </w:r>
      <w:r w:rsidRPr="00E34CFF">
        <w:rPr>
          <w:rFonts w:ascii="Times New Roman" w:hAnsi="Times New Roman" w:cs="Times New Roman"/>
          <w:iCs/>
          <w:sz w:val="24"/>
          <w:szCs w:val="24"/>
        </w:rPr>
        <w:t>uy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trì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m</w:t>
      </w:r>
      <w:r w:rsidRPr="00E34CFF">
        <w:rPr>
          <w:rFonts w:ascii="Times New Roman" w:hAnsi="Times New Roman" w:cs="Times New Roman"/>
          <w:iCs/>
          <w:sz w:val="24"/>
          <w:szCs w:val="24"/>
        </w:rPr>
        <w:t>ột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chủ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động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tác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>;</w:t>
      </w:r>
    </w:p>
    <w:p w14:paraId="6EB68747" w14:textId="2F7C5ABD" w:rsidR="00D81826" w:rsidRPr="00E34CFF" w:rsidRDefault="00804B0D" w:rsidP="000177EF">
      <w:pPr>
        <w:pStyle w:val="ListParagraph"/>
        <w:numPr>
          <w:ilvl w:val="2"/>
          <w:numId w:val="1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diễn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đàn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thấy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đề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cũng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thảo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81826" w:rsidRPr="00E34CFF">
        <w:rPr>
          <w:rFonts w:ascii="Times New Roman" w:hAnsi="Times New Roman" w:cs="Times New Roman"/>
          <w:iCs/>
          <w:sz w:val="24"/>
          <w:szCs w:val="24"/>
        </w:rPr>
        <w:t>m</w:t>
      </w:r>
      <w:r w:rsidRPr="00E34CFF">
        <w:rPr>
          <w:rFonts w:ascii="Times New Roman" w:hAnsi="Times New Roman" w:cs="Times New Roman"/>
          <w:iCs/>
          <w:sz w:val="24"/>
          <w:szCs w:val="24"/>
        </w:rPr>
        <w:t>ột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cách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xây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dựng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xử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="00D81826" w:rsidRPr="00E34C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ACEDCD" w14:textId="3D662604" w:rsidR="00762C2A" w:rsidRDefault="00804B0D" w:rsidP="000177EF">
      <w:pPr>
        <w:pStyle w:val="ListParagraph"/>
        <w:numPr>
          <w:ilvl w:val="1"/>
          <w:numId w:val="1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C2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762C2A">
        <w:rPr>
          <w:rFonts w:ascii="Times New Roman" w:hAnsi="Times New Roman" w:cs="Times New Roman"/>
          <w:sz w:val="24"/>
          <w:szCs w:val="24"/>
        </w:rPr>
        <w:t xml:space="preserve"> (02)</w:t>
      </w:r>
      <w:r w:rsidR="00033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="00D266B1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thay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số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="00D266B1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="00D266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lastRenderedPageBreak/>
        <w:t>đại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</w:t>
      </w:r>
      <w:r w:rsidR="00D266B1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CA2">
        <w:rPr>
          <w:rFonts w:ascii="Times New Roman" w:hAnsi="Times New Roman" w:cs="Times New Roman"/>
          <w:sz w:val="24"/>
          <w:szCs w:val="24"/>
        </w:rPr>
        <w:t>p</w:t>
      </w:r>
      <w:r w:rsidRPr="00D266B1">
        <w:rPr>
          <w:rFonts w:ascii="Times New Roman" w:hAnsi="Times New Roman" w:cs="Times New Roman"/>
          <w:sz w:val="24"/>
          <w:szCs w:val="24"/>
        </w:rPr>
        <w:t>hi</w:t>
      </w:r>
      <w:r w:rsidR="00D266B1">
        <w:rPr>
          <w:rFonts w:ascii="Times New Roman" w:hAnsi="Times New Roman" w:cs="Times New Roman"/>
          <w:sz w:val="24"/>
          <w:szCs w:val="24"/>
        </w:rPr>
        <w:t>ế</w:t>
      </w:r>
      <w:r w:rsidRPr="00D266B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="00D266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266B1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</w:t>
      </w:r>
      <w:r w:rsidR="00D266B1">
        <w:rPr>
          <w:rFonts w:ascii="Times New Roman" w:hAnsi="Times New Roman" w:cs="Times New Roman"/>
          <w:sz w:val="24"/>
          <w:szCs w:val="24"/>
        </w:rPr>
        <w:t>ía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6B1">
        <w:rPr>
          <w:rFonts w:ascii="Times New Roman" w:hAnsi="Times New Roman" w:cs="Times New Roman"/>
          <w:sz w:val="24"/>
          <w:szCs w:val="24"/>
        </w:rPr>
        <w:t>c</w:t>
      </w:r>
      <w:r w:rsidRPr="00D266B1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r w:rsidR="00762C2A">
        <w:rPr>
          <w:rFonts w:ascii="Times New Roman" w:hAnsi="Times New Roman" w:cs="Times New Roman"/>
          <w:sz w:val="24"/>
          <w:szCs w:val="24"/>
        </w:rPr>
        <w:t>0</w:t>
      </w:r>
      <w:r w:rsidRPr="00D266B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916C636" w14:textId="12E168C1" w:rsidR="00762C2A" w:rsidRDefault="00804B0D" w:rsidP="000177EF">
      <w:pPr>
        <w:pStyle w:val="ListParagraph"/>
        <w:numPr>
          <w:ilvl w:val="1"/>
          <w:numId w:val="1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: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</w:t>
      </w:r>
      <w:r w:rsidR="00D266B1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ABC)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D266B1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XYZ).</w:t>
      </w:r>
    </w:p>
    <w:p w14:paraId="6898AD68" w14:textId="2545C310" w:rsidR="0077241F" w:rsidRPr="00E34CFF" w:rsidRDefault="00804B0D" w:rsidP="000177EF">
      <w:pPr>
        <w:pStyle w:val="ListParagraph"/>
        <w:numPr>
          <w:ilvl w:val="1"/>
          <w:numId w:val="1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ABC hay XYZ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D266B1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D266B1" w:rsidRPr="00E34C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)</w:t>
      </w:r>
      <w:r w:rsidR="00D266B1" w:rsidRPr="00E34CFF">
        <w:rPr>
          <w:rFonts w:ascii="Times New Roman" w:hAnsi="Times New Roman" w:cs="Times New Roman"/>
          <w:sz w:val="24"/>
          <w:szCs w:val="24"/>
        </w:rPr>
        <w:t>.</w:t>
      </w:r>
    </w:p>
    <w:p w14:paraId="7196DDBF" w14:textId="509D829F" w:rsidR="0077241F" w:rsidRPr="00E34CFF" w:rsidRDefault="00804B0D" w:rsidP="000177EF">
      <w:pPr>
        <w:pStyle w:val="ListParagraph"/>
        <w:numPr>
          <w:ilvl w:val="1"/>
          <w:numId w:val="1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CFF">
        <w:rPr>
          <w:rFonts w:ascii="Times New Roman" w:hAnsi="Times New Roman" w:cs="Times New Roman"/>
          <w:sz w:val="24"/>
          <w:szCs w:val="24"/>
        </w:rPr>
        <w:t xml:space="preserve">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(qua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video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luân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6B1" w:rsidRPr="00E34CFF">
        <w:rPr>
          <w:rFonts w:ascii="Times New Roman" w:hAnsi="Times New Roman" w:cs="Times New Roman"/>
          <w:sz w:val="24"/>
          <w:szCs w:val="24"/>
        </w:rPr>
        <w:t>B</w:t>
      </w:r>
      <w:r w:rsidRPr="00E34CF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F768E" w14:textId="0B958809" w:rsidR="00804B0D" w:rsidRPr="00E34CFF" w:rsidRDefault="00804B0D" w:rsidP="000177EF">
      <w:pPr>
        <w:pStyle w:val="ListParagraph"/>
        <w:numPr>
          <w:ilvl w:val="1"/>
          <w:numId w:val="1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54DF48FB" w14:textId="1EE918DC" w:rsidR="00D266B1" w:rsidRPr="00D266B1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Đóng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góp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6ABA72" w14:textId="532A72E2" w:rsidR="00D266B1" w:rsidRPr="00E34CFF" w:rsidRDefault="00D266B1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khung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trách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nhiệm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góp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mỗi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tới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gì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chờ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đợi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góp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?] </w:t>
      </w:r>
    </w:p>
    <w:p w14:paraId="5F69D554" w14:textId="1E862DEE" w:rsidR="005B30A6" w:rsidRDefault="00804B0D" w:rsidP="000177EF">
      <w:pPr>
        <w:pStyle w:val="ListParagraph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</w:t>
      </w:r>
      <w:r w:rsidR="00D266B1" w:rsidRPr="00E34CFF">
        <w:rPr>
          <w:rFonts w:ascii="Times New Roman" w:hAnsi="Times New Roman" w:cs="Times New Roman"/>
          <w:sz w:val="24"/>
          <w:szCs w:val="24"/>
        </w:rPr>
        <w:t>ỗ</w:t>
      </w:r>
      <w:r w:rsidRPr="00E34C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5CB8FE1D" w14:textId="1C9CD788" w:rsidR="00804B0D" w:rsidRDefault="00804B0D" w:rsidP="000177EF">
      <w:pPr>
        <w:pStyle w:val="ListParagraph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ABC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:</w:t>
      </w:r>
    </w:p>
    <w:p w14:paraId="27C7A1EB" w14:textId="0EA54DC1" w:rsidR="005B30A6" w:rsidRDefault="005B30A6" w:rsidP="000177EF">
      <w:pPr>
        <w:spacing w:after="120" w:line="276" w:lineRule="auto"/>
        <w:ind w:firstLine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Dưới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.] </w:t>
      </w:r>
    </w:p>
    <w:p w14:paraId="166964AA" w14:textId="514605E4" w:rsidR="005B30A6" w:rsidRPr="00E34CFF" w:rsidRDefault="005B30A6" w:rsidP="000177EF">
      <w:pPr>
        <w:pStyle w:val="ListParagraph"/>
        <w:numPr>
          <w:ilvl w:val="2"/>
          <w:numId w:val="1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kể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qua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tập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huấn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lĩnh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……………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dựa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trên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thống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qua Ban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Quả</w:t>
      </w:r>
      <w:r w:rsidR="000D7B01" w:rsidRPr="009B0496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="000D7B01" w:rsidRPr="009B049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D7B01" w:rsidRPr="009B0496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="000D7B01" w:rsidRPr="009B04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D7B01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thuật</w:t>
      </w:r>
      <w:proofErr w:type="spellEnd"/>
      <w:r w:rsidR="000D7B01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];</w:t>
      </w:r>
    </w:p>
    <w:p w14:paraId="065CE7E1" w14:textId="563229B3" w:rsidR="000D7B01" w:rsidRPr="00E34CFF" w:rsidRDefault="000D7B01" w:rsidP="000177EF">
      <w:pPr>
        <w:pStyle w:val="ListParagraph"/>
        <w:numPr>
          <w:ilvl w:val="2"/>
          <w:numId w:val="1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[……………….]</w:t>
      </w:r>
      <w:r w:rsidR="004D32A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10649739" w14:textId="2F686124" w:rsidR="004D32AF" w:rsidRDefault="00804B0D" w:rsidP="000177EF">
      <w:pPr>
        <w:pStyle w:val="ListParagraph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XYZ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432364" w14:textId="178BD2AF" w:rsidR="00D52A68" w:rsidRPr="00E34CFF" w:rsidRDefault="00804B0D" w:rsidP="000177EF">
      <w:pPr>
        <w:pStyle w:val="ListParagraph"/>
        <w:numPr>
          <w:ilvl w:val="2"/>
          <w:numId w:val="1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mối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hệ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kiến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mạng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lưới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phân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phối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ở </w:t>
      </w:r>
      <w:r w:rsidR="00D266B1" w:rsidRPr="00E34CFF">
        <w:rPr>
          <w:rFonts w:ascii="Times New Roman" w:hAnsi="Times New Roman" w:cs="Times New Roman"/>
          <w:iCs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tên</w:t>
      </w:r>
      <w:proofErr w:type="spellEnd"/>
      <w:r w:rsidR="00D266B1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266B1" w:rsidRPr="00E34CFF">
        <w:rPr>
          <w:rFonts w:ascii="Times New Roman" w:hAnsi="Times New Roman" w:cs="Times New Roman"/>
          <w:iCs/>
          <w:sz w:val="24"/>
          <w:szCs w:val="24"/>
        </w:rPr>
        <w:t>n</w:t>
      </w:r>
      <w:r w:rsidRPr="00E34CFF">
        <w:rPr>
          <w:rFonts w:ascii="Times New Roman" w:hAnsi="Times New Roman" w:cs="Times New Roman"/>
          <w:iCs/>
          <w:sz w:val="24"/>
          <w:szCs w:val="24"/>
        </w:rPr>
        <w:t>ướ</w:t>
      </w:r>
      <w:r w:rsidR="00D266B1" w:rsidRPr="00E34CFF">
        <w:rPr>
          <w:rFonts w:ascii="Times New Roman" w:hAnsi="Times New Roman" w:cs="Times New Roman"/>
          <w:iCs/>
          <w:sz w:val="24"/>
          <w:szCs w:val="24"/>
        </w:rPr>
        <w:t>c</w:t>
      </w:r>
      <w:proofErr w:type="spellEnd"/>
      <w:r w:rsidR="00D266B1" w:rsidRPr="00E34CFF">
        <w:rPr>
          <w:rFonts w:ascii="Times New Roman" w:hAnsi="Times New Roman" w:cs="Times New Roman"/>
          <w:iCs/>
          <w:sz w:val="24"/>
          <w:szCs w:val="24"/>
        </w:rPr>
        <w:t>]</w:t>
      </w:r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xúc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tiến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6A0B" w:rsidRPr="00E34CFF">
        <w:rPr>
          <w:rFonts w:ascii="Times New Roman" w:hAnsi="Times New Roman" w:cs="Times New Roman"/>
          <w:iCs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phẩm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ABC</w:t>
      </w:r>
      <w:r w:rsidR="007B6A0B" w:rsidRPr="00E34CFF">
        <w:rPr>
          <w:rFonts w:ascii="Times New Roman" w:hAnsi="Times New Roman" w:cs="Times New Roman"/>
          <w:iCs/>
          <w:sz w:val="24"/>
          <w:szCs w:val="24"/>
        </w:rPr>
        <w:t>;</w:t>
      </w:r>
    </w:p>
    <w:p w14:paraId="66AD30DD" w14:textId="232E2E27" w:rsidR="007B6A0B" w:rsidRDefault="00804B0D" w:rsidP="000177EF">
      <w:pPr>
        <w:pStyle w:val="ListParagraph"/>
        <w:numPr>
          <w:ilvl w:val="2"/>
          <w:numId w:val="1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tuyển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địa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phượng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mua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trang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7B6A0B"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nguồn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phục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Cs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Cs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1A938698" w14:textId="6E751C79" w:rsidR="00D52A68" w:rsidRPr="00E34CFF" w:rsidRDefault="00D52A68" w:rsidP="000177EF">
      <w:pPr>
        <w:pStyle w:val="ListParagraph"/>
        <w:numPr>
          <w:ilvl w:val="2"/>
          <w:numId w:val="1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[………………]</w:t>
      </w:r>
      <w: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618A2077" w14:textId="3ABC289D" w:rsidR="00804B0D" w:rsidRPr="00E34CFF" w:rsidRDefault="00804B0D" w:rsidP="000177EF">
      <w:pPr>
        <w:pStyle w:val="ListParagraph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0B" w:rsidRPr="00E34CFF">
        <w:rPr>
          <w:rFonts w:ascii="Times New Roman" w:hAnsi="Times New Roman" w:cs="Times New Roman"/>
          <w:sz w:val="24"/>
          <w:szCs w:val="24"/>
        </w:rPr>
        <w:t>c</w:t>
      </w:r>
      <w:r w:rsidRPr="00E34CF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0B"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mẫn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huống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0B0C55E4" w14:textId="2671F754" w:rsidR="00804B0D" w:rsidRPr="00E34CFF" w:rsidRDefault="007B6A0B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lastRenderedPageBreak/>
        <w:t>[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mang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tuyên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bố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ràng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buộc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trách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nhiệm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3.4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bàng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nội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dung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7D9E49FA" w14:textId="5F6EE86C" w:rsidR="007B6A0B" w:rsidRPr="00E34CFF" w:rsidRDefault="007B6A0B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“</w:t>
      </w:r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3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4</w:t>
      </w:r>
      <w:r w:rsidR="0019422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</w:t>
      </w:r>
      <w:r w:rsidR="0019422B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ỗ</w:t>
      </w:r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tất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nỗ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góp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thúc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đẩy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thành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xây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dựng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dựa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lòng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tin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trừ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trách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nhiệm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Mới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mặt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chuẩn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đủ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góp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mình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."]. </w:t>
      </w:r>
    </w:p>
    <w:p w14:paraId="2454900F" w14:textId="41F5381F" w:rsidR="00804B0D" w:rsidRPr="004116F8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411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411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án</w:t>
      </w:r>
      <w:proofErr w:type="spellEnd"/>
      <w:r w:rsidRPr="00411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411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411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chung</w:t>
      </w:r>
      <w:proofErr w:type="spellEnd"/>
    </w:p>
    <w:p w14:paraId="35AA0070" w14:textId="3CD76BD3" w:rsidR="004116F8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kiểu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4116F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2F0DA409" w14:textId="2F504968" w:rsidR="0019422B" w:rsidRPr="00E34CFF" w:rsidRDefault="00804B0D" w:rsidP="000177EF">
      <w:pPr>
        <w:pStyle w:val="ListParagraph"/>
        <w:numPr>
          <w:ilvl w:val="1"/>
          <w:numId w:val="1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4116F8"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lĩnh</w:t>
      </w:r>
      <w:proofErr w:type="spellEnd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vực</w:t>
      </w:r>
      <w:proofErr w:type="spellEnd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4116F8" w:rsidRPr="00C5140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6F8" w:rsidRPr="00E34CFF">
        <w:rPr>
          <w:rFonts w:ascii="Times New Roman" w:hAnsi="Times New Roman" w:cs="Times New Roman"/>
          <w:sz w:val="24"/>
          <w:szCs w:val="24"/>
        </w:rPr>
        <w:t>B</w:t>
      </w:r>
      <w:r w:rsidRPr="00E34CF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</w:t>
      </w:r>
      <w:r w:rsidR="004116F8" w:rsidRPr="00E34CFF">
        <w:rPr>
          <w:rFonts w:ascii="Times New Roman" w:hAnsi="Times New Roman" w:cs="Times New Roman"/>
          <w:sz w:val="24"/>
          <w:szCs w:val="24"/>
        </w:rPr>
        <w:t>n</w:t>
      </w:r>
      <w:r w:rsidRPr="00E34CFF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4116F8" w:rsidRPr="00E34CFF">
        <w:rPr>
          <w:rFonts w:ascii="Times New Roman" w:hAnsi="Times New Roman" w:cs="Times New Roman"/>
          <w:sz w:val="24"/>
          <w:szCs w:val="24"/>
        </w:rPr>
        <w:t>.</w:t>
      </w:r>
    </w:p>
    <w:p w14:paraId="48A3AE25" w14:textId="361CE6C2" w:rsidR="0019422B" w:rsidRPr="00E34CFF" w:rsidRDefault="00804B0D" w:rsidP="000177EF">
      <w:pPr>
        <w:pStyle w:val="ListParagraph"/>
        <w:numPr>
          <w:ilvl w:val="1"/>
          <w:numId w:val="1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059F0E" w14:textId="25C6CEA4" w:rsidR="0019422B" w:rsidRDefault="00804B0D" w:rsidP="000177EF">
      <w:pPr>
        <w:pStyle w:val="ListParagraph"/>
        <w:numPr>
          <w:ilvl w:val="2"/>
          <w:numId w:val="14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cam</w:t>
      </w:r>
      <w:r w:rsidR="004116F8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6F8"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4116F8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;</w:t>
      </w:r>
    </w:p>
    <w:p w14:paraId="02861F93" w14:textId="7BED71AE" w:rsidR="0019422B" w:rsidRPr="00E34CFF" w:rsidRDefault="00804B0D" w:rsidP="000177EF">
      <w:pPr>
        <w:pStyle w:val="ListParagraph"/>
        <w:numPr>
          <w:ilvl w:val="2"/>
          <w:numId w:val="14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</w:p>
    <w:p w14:paraId="5CECE34A" w14:textId="5F2F0DE8" w:rsidR="004116F8" w:rsidRPr="00E34CFF" w:rsidRDefault="00804B0D" w:rsidP="000177EF">
      <w:pPr>
        <w:pStyle w:val="ListParagraph"/>
        <w:numPr>
          <w:ilvl w:val="2"/>
          <w:numId w:val="14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222199" w14:textId="37E9171B" w:rsidR="0019422B" w:rsidRDefault="00804B0D" w:rsidP="000177EF">
      <w:pPr>
        <w:pStyle w:val="ListParagraph"/>
        <w:numPr>
          <w:ilvl w:val="1"/>
          <w:numId w:val="1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="004116F8">
        <w:rPr>
          <w:rFonts w:ascii="Times New Roman" w:hAnsi="Times New Roman" w:cs="Times New Roman"/>
          <w:sz w:val="24"/>
          <w:szCs w:val="24"/>
        </w:rPr>
        <w:t>.</w:t>
      </w:r>
    </w:p>
    <w:p w14:paraId="2F074C9F" w14:textId="2F2C413F" w:rsidR="00804B0D" w:rsidRPr="00E34CFF" w:rsidRDefault="00804B0D" w:rsidP="000177EF">
      <w:pPr>
        <w:pStyle w:val="ListParagraph"/>
        <w:numPr>
          <w:ilvl w:val="1"/>
          <w:numId w:val="1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6F8" w:rsidRPr="00E34CFF">
        <w:rPr>
          <w:rFonts w:ascii="Times New Roman" w:hAnsi="Times New Roman" w:cs="Times New Roman"/>
          <w:sz w:val="24"/>
          <w:szCs w:val="24"/>
        </w:rPr>
        <w:t>B</w:t>
      </w:r>
      <w:r w:rsidRPr="00E34CF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46133419" w14:textId="0DCD815D" w:rsidR="00804B0D" w:rsidRPr="004116F8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4116F8">
        <w:rPr>
          <w:rFonts w:ascii="Times New Roman" w:hAnsi="Times New Roman" w:cs="Times New Roman"/>
          <w:b/>
          <w:bCs/>
          <w:sz w:val="24"/>
          <w:szCs w:val="24"/>
        </w:rPr>
        <w:t xml:space="preserve"> chi </w:t>
      </w: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411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F8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411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b/>
          <w:bCs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b/>
          <w:bCs/>
          <w:sz w:val="24"/>
          <w:szCs w:val="24"/>
        </w:rPr>
        <w:t>danh</w:t>
      </w:r>
      <w:proofErr w:type="spellEnd"/>
    </w:p>
    <w:p w14:paraId="55F05897" w14:textId="1FE87AF1" w:rsidR="00AF0C10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chịu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nằm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ngoài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Chung.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Khái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niệm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cam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64389027" w14:textId="76AEB417" w:rsidR="00AF0C10" w:rsidRPr="00E34CFF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CFF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C26FBB" w14:textId="34C14532" w:rsidR="00804B0D" w:rsidRPr="00D266B1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lastRenderedPageBreak/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chế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D266B1">
        <w:rPr>
          <w:rFonts w:ascii="Times New Roman" w:hAnsi="Times New Roman" w:cs="Times New Roman"/>
          <w:sz w:val="24"/>
          <w:szCs w:val="24"/>
        </w:rPr>
        <w:t xml:space="preserve">"Cam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gộp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:</w:t>
      </w:r>
    </w:p>
    <w:p w14:paraId="6345522A" w14:textId="1F5A5E69" w:rsidR="00804B0D" w:rsidRPr="00AF0C10" w:rsidRDefault="00804B0D" w:rsidP="000177EF">
      <w:pPr>
        <w:spacing w:after="120" w:line="276" w:lineRule="auto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 xml:space="preserve">ABC: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cam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tối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42785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;</w:t>
      </w:r>
    </w:p>
    <w:p w14:paraId="660C8518" w14:textId="273FDF07" w:rsidR="00AF0C10" w:rsidRDefault="00804B0D" w:rsidP="000177EF">
      <w:pPr>
        <w:spacing w:after="12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 xml:space="preserve">XYZ: </w:t>
      </w:r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cam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tối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</w:t>
      </w:r>
      <w:proofErr w:type="spellEnd"/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427850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.</w:t>
      </w:r>
    </w:p>
    <w:p w14:paraId="7C79FAAF" w14:textId="77777777" w:rsidR="00AF0C10" w:rsidRDefault="00804B0D" w:rsidP="000177EF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FB7145" w14:textId="75885A3D" w:rsidR="00AF0C10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C3C1F1" w14:textId="0AFAD684" w:rsidR="00AF0C10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ABC </w:t>
      </w:r>
      <w:r w:rsidR="00AF0C10">
        <w:rPr>
          <w:rFonts w:ascii="Times New Roman" w:hAnsi="Times New Roman" w:cs="Times New Roman"/>
          <w:sz w:val="24"/>
          <w:szCs w:val="24"/>
        </w:rPr>
        <w:t>–</w:t>
      </w:r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XYZ </w:t>
      </w:r>
      <w:r w:rsidR="00AF0C10">
        <w:rPr>
          <w:rFonts w:ascii="Times New Roman" w:hAnsi="Times New Roman" w:cs="Times New Roman"/>
          <w:sz w:val="24"/>
          <w:szCs w:val="24"/>
        </w:rPr>
        <w:t>–</w:t>
      </w:r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6FCE2" w14:textId="54043F46" w:rsidR="00AF0C10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86">
        <w:rPr>
          <w:rFonts w:ascii="Times New Roman" w:hAnsi="Times New Roman" w:cs="Times New Roman"/>
          <w:sz w:val="24"/>
          <w:szCs w:val="24"/>
        </w:rPr>
        <w:t>c</w:t>
      </w:r>
      <w:r w:rsidRPr="00D266B1">
        <w:rPr>
          <w:rFonts w:ascii="Times New Roman" w:hAnsi="Times New Roman" w:cs="Times New Roman"/>
          <w:sz w:val="24"/>
          <w:szCs w:val="24"/>
        </w:rPr>
        <w:t>hung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người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;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31B76425" w14:textId="77777777" w:rsidR="00AF0C10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4D1F2" w14:textId="41FC388C" w:rsidR="00E3008E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ấn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“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môi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Cam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Cộng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gộp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</w:t>
      </w:r>
      <w:r w:rsidR="00AF0C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. </w:t>
      </w:r>
    </w:p>
    <w:p w14:paraId="79AB749E" w14:textId="04121DB7" w:rsidR="00E3008E" w:rsidRPr="00E34CFF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</w:t>
      </w:r>
      <w:r w:rsidR="00E83748" w:rsidRPr="00E34CFF">
        <w:rPr>
          <w:rFonts w:ascii="Times New Roman" w:hAnsi="Times New Roman" w:cs="Times New Roman"/>
          <w:sz w:val="24"/>
          <w:szCs w:val="24"/>
        </w:rPr>
        <w:t>ỗ</w:t>
      </w:r>
      <w:r w:rsidRPr="00E34C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5.2.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Chung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66A89" w14:textId="460ABA90" w:rsidR="00E3008E" w:rsidRPr="00E34CFF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"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vượt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quá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Cam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Cộng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gộp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"]</w:t>
      </w:r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22644F62" w14:textId="4F89A2C0" w:rsidR="00E3008E" w:rsidRPr="00E34CFF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E50D1A" w14:textId="12A37D42" w:rsidR="00E3008E" w:rsidRPr="00E34CFF" w:rsidRDefault="00804B0D" w:rsidP="000177EF">
      <w:pPr>
        <w:pStyle w:val="ListParagraph"/>
        <w:numPr>
          <w:ilvl w:val="2"/>
          <w:numId w:val="1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E83748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E83748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17; </w:t>
      </w:r>
    </w:p>
    <w:p w14:paraId="46CF5A8D" w14:textId="250901F4" w:rsidR="00804B0D" w:rsidRPr="00E34CFF" w:rsidRDefault="00804B0D" w:rsidP="000177EF">
      <w:pPr>
        <w:pStyle w:val="ListParagraph"/>
        <w:numPr>
          <w:ilvl w:val="2"/>
          <w:numId w:val="1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E83748"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loại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Chung 5.5.3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12)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E83748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r w:rsidRPr="00E34CFF">
        <w:rPr>
          <w:rFonts w:ascii="Times New Roman" w:hAnsi="Times New Roman" w:cs="Times New Roman"/>
          <w:i/>
          <w:iCs/>
          <w:sz w:val="24"/>
          <w:szCs w:val="24"/>
        </w:rPr>
        <w:t>%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vay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,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6B094FC2" w14:textId="455E4A8B" w:rsidR="000B7C70" w:rsidRPr="00E34CFF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Chung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ấn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</w:t>
      </w:r>
      <w:r w:rsidR="000B7C7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“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lastRenderedPageBreak/>
        <w:t>thiết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lập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Ba</w:t>
      </w:r>
      <w:r w:rsidR="0079102B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“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lịch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”].</w:t>
      </w:r>
    </w:p>
    <w:p w14:paraId="4223A9DD" w14:textId="3EC65A34" w:rsidR="000B7C70" w:rsidRPr="00E34CFF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</w:t>
      </w:r>
      <w:r w:rsidR="00E83748" w:rsidRPr="00E34CFF">
        <w:rPr>
          <w:rFonts w:ascii="Times New Roman" w:hAnsi="Times New Roman" w:cs="Times New Roman"/>
          <w:sz w:val="24"/>
          <w:szCs w:val="24"/>
        </w:rPr>
        <w:t>é</w:t>
      </w:r>
      <w:r w:rsidRPr="00E34CF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Chung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08025E8C" w14:textId="1E439334" w:rsidR="000B7C70" w:rsidRPr="00E34CFF" w:rsidRDefault="00804B0D" w:rsidP="000177EF">
      <w:pPr>
        <w:pStyle w:val="ListParagraph"/>
        <w:numPr>
          <w:ilvl w:val="2"/>
          <w:numId w:val="1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E83748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E83748"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sz w:val="24"/>
          <w:szCs w:val="24"/>
        </w:rPr>
        <w:t xml:space="preserve">(hay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do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1C2F83">
        <w:rPr>
          <w:rFonts w:ascii="Times New Roman" w:hAnsi="Times New Roman" w:cs="Times New Roman"/>
          <w:sz w:val="24"/>
          <w:szCs w:val="24"/>
        </w:rPr>
        <w:t>;</w:t>
      </w:r>
    </w:p>
    <w:p w14:paraId="59B38819" w14:textId="2172EB70" w:rsidR="00804B0D" w:rsidRPr="00E34CFF" w:rsidRDefault="00804B0D" w:rsidP="000177EF">
      <w:pPr>
        <w:pStyle w:val="ListParagraph"/>
        <w:numPr>
          <w:ilvl w:val="2"/>
          <w:numId w:val="1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,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0F4C3BD2" w14:textId="4D5E9009" w:rsidR="000B7C70" w:rsidRPr="00D266B1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chép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.</w:t>
      </w:r>
    </w:p>
    <w:p w14:paraId="785D42CF" w14:textId="6D0E8754" w:rsidR="000B7C70" w:rsidRPr="00E34CFF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Chung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do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0F375830" w14:textId="3FC8856F" w:rsidR="00804B0D" w:rsidRPr="00E34CFF" w:rsidRDefault="00804B0D" w:rsidP="000177EF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Chung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7F70BADC" w14:textId="0A1D96C3" w:rsidR="00CB1AF2" w:rsidRPr="00CB1AF2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hữu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trí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tuệ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401110" w14:textId="01D76170" w:rsidR="00804B0D" w:rsidRPr="00CB1AF2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tin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tuệ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(IPR).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khung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khổ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bao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gồm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điểm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Khung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</w:t>
      </w:r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ổ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xây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dựa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tuệ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“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thị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"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ý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ràng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li</w:t>
      </w:r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-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xăng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vấn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đề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tuệ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biệt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tuệ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="00CB1AF2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31201A9B" w14:textId="742B9941" w:rsidR="00804B0D" w:rsidRPr="00E34CFF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khuôn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</w:t>
      </w:r>
      <w:r w:rsidR="00C774C3" w:rsidRPr="00E34CFF">
        <w:rPr>
          <w:rFonts w:ascii="Times New Roman" w:hAnsi="Times New Roman" w:cs="Times New Roman"/>
          <w:sz w:val="24"/>
          <w:szCs w:val="24"/>
        </w:rPr>
        <w:t>ổ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:</w:t>
      </w:r>
    </w:p>
    <w:p w14:paraId="4F9D0800" w14:textId="3EC1B0FF" w:rsidR="00F57FF6" w:rsidRPr="00D266B1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– IPR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CB1AF2">
        <w:rPr>
          <w:rFonts w:ascii="Times New Roman" w:hAnsi="Times New Roman" w:cs="Times New Roman"/>
          <w:sz w:val="24"/>
          <w:szCs w:val="24"/>
        </w:rPr>
        <w:t>”</w:t>
      </w:r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tồn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.</w:t>
      </w:r>
    </w:p>
    <w:p w14:paraId="7E854D7D" w14:textId="5F7C0FF2" w:rsidR="00F57FF6" w:rsidRPr="00D266B1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="00CB1AF2">
        <w:rPr>
          <w:rFonts w:ascii="Times New Roman" w:hAnsi="Times New Roman" w:cs="Times New Roman"/>
          <w:sz w:val="24"/>
          <w:szCs w:val="24"/>
        </w:rPr>
        <w:t>”</w:t>
      </w:r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kiểu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dáng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AF2">
        <w:rPr>
          <w:rFonts w:ascii="Times New Roman" w:hAnsi="Times New Roman" w:cs="Times New Roman"/>
          <w:sz w:val="24"/>
          <w:szCs w:val="24"/>
        </w:rPr>
        <w:t>S</w:t>
      </w:r>
      <w:r w:rsidRPr="00D266B1">
        <w:rPr>
          <w:rFonts w:ascii="Times New Roman" w:hAnsi="Times New Roman" w:cs="Times New Roman"/>
          <w:sz w:val="24"/>
          <w:szCs w:val="24"/>
        </w:rPr>
        <w:t>ở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AF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).</w:t>
      </w:r>
    </w:p>
    <w:p w14:paraId="014CD8E6" w14:textId="6431A933" w:rsidR="00F57FF6" w:rsidRPr="00D266B1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lastRenderedPageBreak/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“IPR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khuôn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khổ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</w:p>
    <w:p w14:paraId="7148EB0A" w14:textId="07CFA205" w:rsidR="00CB1AF2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</w:t>
      </w:r>
      <w:r w:rsidR="00F57FF6">
        <w:rPr>
          <w:rFonts w:ascii="Times New Roman" w:hAnsi="Times New Roman" w:cs="Times New Roman"/>
          <w:sz w:val="24"/>
          <w:szCs w:val="24"/>
        </w:rPr>
        <w:t>ổ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F00F6" w14:textId="7C837C2A" w:rsidR="00F57FF6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IPR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IPR Ban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B2935" w14:textId="6034EA55" w:rsidR="00F57FF6" w:rsidRPr="00E34CFF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</w:t>
      </w:r>
      <w:r w:rsidR="00CB1AF2" w:rsidRPr="00E34CFF">
        <w:rPr>
          <w:rFonts w:ascii="Times New Roman" w:hAnsi="Times New Roman" w:cs="Times New Roman"/>
          <w:sz w:val="24"/>
          <w:szCs w:val="24"/>
        </w:rPr>
        <w:t>R</w:t>
      </w:r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EE9F1" w14:textId="3F22AA1E" w:rsidR="00F57FF6" w:rsidRPr="00E34CFF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chè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ở,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CC5A41" w14:textId="7263DB10" w:rsidR="00F57FF6" w:rsidRPr="00E34CFF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="001C2F83">
        <w:rPr>
          <w:rFonts w:ascii="Times New Roman" w:hAnsi="Times New Roman" w:cs="Times New Roman"/>
          <w:sz w:val="24"/>
          <w:szCs w:val="24"/>
        </w:rPr>
        <w:t>.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</w:t>
      </w:r>
      <w:r w:rsidR="001C2F83">
        <w:rPr>
          <w:rFonts w:ascii="Times New Roman" w:hAnsi="Times New Roman" w:cs="Times New Roman"/>
          <w:sz w:val="24"/>
          <w:szCs w:val="24"/>
        </w:rPr>
        <w:t>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05BD04" w14:textId="68F6F26C" w:rsidR="00F57FF6" w:rsidRPr="00E34CFF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BC9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="003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Chung</w:t>
      </w:r>
      <w:r w:rsidR="001C2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</w:t>
      </w:r>
      <w:r w:rsidR="001C2F83">
        <w:rPr>
          <w:rFonts w:ascii="Times New Roman" w:hAnsi="Times New Roman" w:cs="Times New Roman"/>
          <w:sz w:val="24"/>
          <w:szCs w:val="24"/>
        </w:rPr>
        <w:t>ấ</w:t>
      </w:r>
      <w:r w:rsidRPr="00E34CF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do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27491" w14:textId="3CD95A54" w:rsidR="00F57FF6" w:rsidRPr="00E34CFF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1C2F83">
        <w:rPr>
          <w:rFonts w:ascii="Times New Roman" w:hAnsi="Times New Roman" w:cs="Times New Roman"/>
          <w:sz w:val="24"/>
          <w:szCs w:val="24"/>
        </w:rPr>
        <w:t>I</w:t>
      </w:r>
      <w:r w:rsidRPr="00E34CFF">
        <w:rPr>
          <w:rFonts w:ascii="Times New Roman" w:hAnsi="Times New Roman" w:cs="Times New Roman"/>
          <w:sz w:val="24"/>
          <w:szCs w:val="24"/>
        </w:rPr>
        <w:t xml:space="preserve">PR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r w:rsidR="001C2F83">
        <w:rPr>
          <w:rFonts w:ascii="Times New Roman" w:hAnsi="Times New Roman" w:cs="Times New Roman"/>
          <w:sz w:val="24"/>
          <w:szCs w:val="24"/>
        </w:rPr>
        <w:t>I</w:t>
      </w:r>
      <w:r w:rsidRPr="00E34CFF">
        <w:rPr>
          <w:rFonts w:ascii="Times New Roman" w:hAnsi="Times New Roman" w:cs="Times New Roman"/>
          <w:sz w:val="24"/>
          <w:szCs w:val="24"/>
        </w:rPr>
        <w:t xml:space="preserve">PR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E56FC" w14:textId="1B9C4B0E" w:rsidR="00F57FF6" w:rsidRPr="00E34CFF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cẩn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chốt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kia.</w:t>
      </w:r>
    </w:p>
    <w:p w14:paraId="2FB66ABD" w14:textId="690EB2CA" w:rsidR="00F57FF6" w:rsidRDefault="00F57FF6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gua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cac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tet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>.</w:t>
      </w:r>
    </w:p>
    <w:p w14:paraId="423036B3" w14:textId="73EDEF82" w:rsidR="00F57FF6" w:rsidRPr="00E34CFF" w:rsidRDefault="00804B0D" w:rsidP="000177EF">
      <w:pPr>
        <w:pStyle w:val="ListParagraph"/>
        <w:numPr>
          <w:ilvl w:val="1"/>
          <w:numId w:val="1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lastRenderedPageBreak/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đem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IPR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9D107" w14:textId="0A0A3F4C" w:rsidR="00F57FF6" w:rsidRPr="00E34CFF" w:rsidRDefault="00804B0D" w:rsidP="000177EF">
      <w:pPr>
        <w:pStyle w:val="ListParagraph"/>
        <w:numPr>
          <w:ilvl w:val="2"/>
          <w:numId w:val="1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CB1AF2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khuôn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khổ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CB1AF2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1C2F83">
        <w:rPr>
          <w:rFonts w:ascii="Times New Roman" w:hAnsi="Times New Roman" w:cs="Times New Roman"/>
          <w:sz w:val="24"/>
          <w:szCs w:val="24"/>
        </w:rPr>
        <w:t>.</w:t>
      </w:r>
    </w:p>
    <w:p w14:paraId="4E7A2F5F" w14:textId="246087FF" w:rsidR="00804B0D" w:rsidRPr="00E34CFF" w:rsidRDefault="00804B0D" w:rsidP="000177EF">
      <w:pPr>
        <w:pStyle w:val="ListParagraph"/>
        <w:numPr>
          <w:ilvl w:val="2"/>
          <w:numId w:val="1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VIR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CB1AF2"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14">
        <w:rPr>
          <w:rFonts w:ascii="Times New Roman" w:hAnsi="Times New Roman" w:cs="Times New Roman"/>
          <w:sz w:val="24"/>
          <w:szCs w:val="24"/>
        </w:rPr>
        <w:t>n</w:t>
      </w:r>
      <w:r w:rsidRPr="00E34CFF">
        <w:rPr>
          <w:rFonts w:ascii="Times New Roman" w:hAnsi="Times New Roman" w:cs="Times New Roman"/>
          <w:sz w:val="24"/>
          <w:szCs w:val="24"/>
        </w:rPr>
        <w:t>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CB1AF2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6,10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5CA095D3" w14:textId="1BF9FA95" w:rsidR="00804B0D" w:rsidRPr="00CB1AF2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phối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ưu</w:t>
      </w:r>
      <w:proofErr w:type="spellEnd"/>
      <w:r w:rsidRPr="00CB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AF2">
        <w:rPr>
          <w:rFonts w:ascii="Times New Roman" w:hAnsi="Times New Roman" w:cs="Times New Roman"/>
          <w:b/>
          <w:bCs/>
          <w:sz w:val="24"/>
          <w:szCs w:val="24"/>
        </w:rPr>
        <w:t>tiên</w:t>
      </w:r>
      <w:proofErr w:type="spellEnd"/>
    </w:p>
    <w:p w14:paraId="459616A5" w14:textId="462AFDD5" w:rsidR="00D709DD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709D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phân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phối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phẩm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khuôn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khổ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D709D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68527F01" w14:textId="607171AC" w:rsidR="00B227EF" w:rsidRPr="00E34CFF" w:rsidRDefault="00804B0D" w:rsidP="000177EF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D709D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="00D709DD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,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D709D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phẩm</w:t>
      </w:r>
      <w:proofErr w:type="spellEnd"/>
      <w:r w:rsidR="00D50C14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D709DD"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ABC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D709DD" w:rsidRPr="00E34CF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</w:t>
      </w:r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phẩm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9DD" w:rsidRPr="00E34CFF">
        <w:rPr>
          <w:rFonts w:ascii="Times New Roman" w:hAnsi="Times New Roman" w:cs="Times New Roman"/>
          <w:sz w:val="24"/>
          <w:szCs w:val="24"/>
        </w:rPr>
        <w:t>c</w:t>
      </w:r>
      <w:r w:rsidRPr="00E34CFF">
        <w:rPr>
          <w:rFonts w:ascii="Times New Roman" w:hAnsi="Times New Roman" w:cs="Times New Roman"/>
          <w:sz w:val="24"/>
          <w:szCs w:val="24"/>
        </w:rPr>
        <w:t>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09A9E" w14:textId="4E68E7A5" w:rsidR="00804B0D" w:rsidRPr="00E34CFF" w:rsidRDefault="00804B0D" w:rsidP="000177EF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</w:t>
      </w:r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phẩm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đàm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ABC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D709D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D709D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86682" w14:textId="69ECF4E9" w:rsidR="00804B0D" w:rsidRPr="00D709DD" w:rsidRDefault="00D709DD" w:rsidP="000177EF">
      <w:pPr>
        <w:pStyle w:val="ListParagraph"/>
        <w:numPr>
          <w:ilvl w:val="1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cắt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cử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</w:p>
    <w:p w14:paraId="19AF28BF" w14:textId="1B15A83C" w:rsidR="00D709DD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cắt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709D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iê</w:t>
      </w:r>
      <w:r w:rsidR="00D709D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proofErr w:type="spellEnd"/>
      <w:r w:rsidR="00D709D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62777141" w14:textId="7A58A932" w:rsidR="00B227EF" w:rsidRPr="00E34CFF" w:rsidRDefault="00804B0D" w:rsidP="000177EF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D709DD" w:rsidRPr="00E34C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9DD" w:rsidRPr="00E34CFF">
        <w:rPr>
          <w:rFonts w:ascii="Times New Roman" w:hAnsi="Times New Roman" w:cs="Times New Roman"/>
          <w:sz w:val="24"/>
          <w:szCs w:val="24"/>
        </w:rPr>
        <w:t>B</w:t>
      </w:r>
      <w:r w:rsidRPr="00E34CF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9EA08" w14:textId="3A348D59" w:rsidR="00804B0D" w:rsidRPr="00E34CFF" w:rsidRDefault="00804B0D" w:rsidP="000177EF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ABC hay XYZ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09DD" w:rsidRPr="00E34C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9DD" w:rsidRPr="00E34CF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9DD"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(ii)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cẩn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9DD" w:rsidRPr="00E34CF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9DD" w:rsidRPr="00E34CF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kia.</w:t>
      </w:r>
    </w:p>
    <w:p w14:paraId="64F0E2A8" w14:textId="0577D82C" w:rsidR="00D709DD" w:rsidRPr="00D709DD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mật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9DD">
        <w:rPr>
          <w:rFonts w:ascii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D7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EA214" w14:textId="745ABDC5" w:rsidR="00B227EF" w:rsidRPr="00E34CFF" w:rsidRDefault="00804B0D" w:rsidP="000177EF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lastRenderedPageBreak/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tin: </w:t>
      </w:r>
    </w:p>
    <w:p w14:paraId="4FA4F242" w14:textId="782F6A8D" w:rsidR="00B227EF" w:rsidRPr="00E34CFF" w:rsidRDefault="00804B0D" w:rsidP="000177EF">
      <w:pPr>
        <w:pStyle w:val="ListParagraph"/>
        <w:numPr>
          <w:ilvl w:val="2"/>
          <w:numId w:val="2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2435D6" w14:textId="682F7B78" w:rsidR="00B227EF" w:rsidRPr="00E34CFF" w:rsidRDefault="00804B0D" w:rsidP="000177EF">
      <w:pPr>
        <w:pStyle w:val="ListParagraph"/>
        <w:numPr>
          <w:ilvl w:val="2"/>
          <w:numId w:val="2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1BFB4A" w14:textId="00A09452" w:rsidR="004C6DAD" w:rsidRPr="00E34CFF" w:rsidRDefault="00804B0D" w:rsidP="000177EF">
      <w:pPr>
        <w:pStyle w:val="ListParagraph"/>
        <w:numPr>
          <w:ilvl w:val="2"/>
          <w:numId w:val="2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D709D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4C6DA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52C37D" w14:textId="365FD4AE" w:rsidR="00B227EF" w:rsidRDefault="00804B0D" w:rsidP="000177EF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9,2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nhằm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lập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thuộc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9.2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9</w:t>
      </w:r>
      <w:r w:rsidR="004C6DAD">
        <w:rPr>
          <w:rFonts w:ascii="Times New Roman" w:hAnsi="Times New Roman" w:cs="Times New Roman"/>
          <w:sz w:val="24"/>
          <w:szCs w:val="24"/>
        </w:rPr>
        <w:t>.</w:t>
      </w:r>
      <w:r w:rsidRPr="00D266B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44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</w:t>
      </w:r>
      <w:r w:rsidR="004C6DAD">
        <w:rPr>
          <w:rFonts w:ascii="Times New Roman" w:hAnsi="Times New Roman" w:cs="Times New Roman"/>
          <w:sz w:val="24"/>
          <w:szCs w:val="24"/>
        </w:rPr>
        <w:t>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li-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xăng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), (ii)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(iii)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9</w:t>
      </w:r>
      <w:r w:rsidR="004C6DAD">
        <w:rPr>
          <w:rFonts w:ascii="Times New Roman" w:hAnsi="Times New Roman" w:cs="Times New Roman"/>
          <w:sz w:val="24"/>
          <w:szCs w:val="24"/>
        </w:rPr>
        <w:t>.</w:t>
      </w:r>
      <w:r w:rsidRPr="00D266B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</w:t>
      </w:r>
      <w:r w:rsidR="004C6DAD">
        <w:rPr>
          <w:rFonts w:ascii="Times New Roman" w:hAnsi="Times New Roman" w:cs="Times New Roman"/>
          <w:sz w:val="24"/>
          <w:szCs w:val="24"/>
        </w:rPr>
        <w:t>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EF663" w14:textId="64F4ACB1" w:rsidR="00B227EF" w:rsidRPr="00E34CFF" w:rsidRDefault="00804B0D" w:rsidP="000177EF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8E2E7" w14:textId="156EF83F" w:rsidR="00B227EF" w:rsidRPr="00E34CFF" w:rsidRDefault="00804B0D" w:rsidP="000177EF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</w:t>
      </w:r>
      <w:r w:rsidR="004C6DAD" w:rsidRPr="00E34CFF">
        <w:rPr>
          <w:rFonts w:ascii="Times New Roman" w:hAnsi="Times New Roman" w:cs="Times New Roman"/>
          <w:sz w:val="24"/>
          <w:szCs w:val="24"/>
        </w:rPr>
        <w:t>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EE63B" w14:textId="0823C5B4" w:rsidR="00804B0D" w:rsidRPr="00E34CFF" w:rsidRDefault="00804B0D" w:rsidP="000177EF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thúc</w:t>
      </w:r>
      <w:proofErr w:type="spellEnd"/>
    </w:p>
    <w:p w14:paraId="1063073B" w14:textId="5F643686" w:rsidR="00804B0D" w:rsidRPr="004C6DAD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DAD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4C6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DAD">
        <w:rPr>
          <w:rFonts w:ascii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4C6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DAD">
        <w:rPr>
          <w:rFonts w:ascii="Times New Roman" w:hAnsi="Times New Roman" w:cs="Times New Roman"/>
          <w:b/>
          <w:bCs/>
          <w:sz w:val="24"/>
          <w:szCs w:val="24"/>
        </w:rPr>
        <w:t>chế</w:t>
      </w:r>
      <w:proofErr w:type="spellEnd"/>
      <w:r w:rsidRPr="004C6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DAD">
        <w:rPr>
          <w:rFonts w:ascii="Times New Roman" w:hAnsi="Times New Roman" w:cs="Times New Roman"/>
          <w:b/>
          <w:bCs/>
          <w:sz w:val="24"/>
          <w:szCs w:val="24"/>
        </w:rPr>
        <w:t>đối</w:t>
      </w:r>
      <w:proofErr w:type="spellEnd"/>
      <w:r w:rsidRPr="004C6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DAD">
        <w:rPr>
          <w:rFonts w:ascii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4C6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DAD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4C6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DAD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</w:p>
    <w:p w14:paraId="10B500AF" w14:textId="5D3644FA" w:rsidR="004C6DAD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4C6DA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cạnh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chế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cẩn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chế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ở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nước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chúng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vi,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thổ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4C6DA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</w:p>
    <w:p w14:paraId="23E3E60B" w14:textId="73FF2C51" w:rsidR="00B227EF" w:rsidRPr="00E34CFF" w:rsidRDefault="00804B0D" w:rsidP="000177EF">
      <w:pPr>
        <w:pStyle w:val="ListParagraph"/>
        <w:numPr>
          <w:ilvl w:val="1"/>
          <w:numId w:val="2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:</w:t>
      </w:r>
    </w:p>
    <w:p w14:paraId="52CA8302" w14:textId="1F5418BD" w:rsidR="00B227EF" w:rsidRPr="00E34CFF" w:rsidRDefault="00804B0D" w:rsidP="000177EF">
      <w:pPr>
        <w:pStyle w:val="ListParagraph"/>
        <w:numPr>
          <w:ilvl w:val="2"/>
          <w:numId w:val="24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CFF">
        <w:rPr>
          <w:rFonts w:ascii="Times New Roman" w:hAnsi="Times New Roman" w:cs="Times New Roman"/>
          <w:sz w:val="24"/>
          <w:szCs w:val="24"/>
        </w:rPr>
        <w:t xml:space="preserve">ABC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8860F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8860F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</w:t>
      </w:r>
      <w:r w:rsidR="008860F7" w:rsidRPr="00E34CFF">
        <w:rPr>
          <w:rFonts w:ascii="Times New Roman" w:hAnsi="Times New Roman" w:cs="Times New Roman"/>
          <w:sz w:val="24"/>
          <w:szCs w:val="24"/>
        </w:rPr>
        <w:t>ĩ</w:t>
      </w:r>
      <w:r w:rsidRPr="00E34CFF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XYZ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</w:t>
      </w:r>
      <w:r w:rsidR="00B227EF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ổ</w:t>
      </w:r>
      <w:proofErr w:type="spellEnd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;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5C9896DD" w14:textId="270F1137" w:rsidR="008860F7" w:rsidRPr="00E34CFF" w:rsidRDefault="00804B0D" w:rsidP="000177EF">
      <w:pPr>
        <w:pStyle w:val="ListParagraph"/>
        <w:numPr>
          <w:ilvl w:val="2"/>
          <w:numId w:val="24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sz w:val="24"/>
          <w:szCs w:val="24"/>
        </w:rPr>
        <w:t xml:space="preserve">XYZ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F7"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860F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F7"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860F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F7"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860F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F7" w:rsidRPr="00E34CFF">
        <w:rPr>
          <w:rFonts w:ascii="Times New Roman" w:hAnsi="Times New Roman" w:cs="Times New Roman"/>
          <w:sz w:val="24"/>
          <w:szCs w:val="24"/>
        </w:rPr>
        <w:t>bấ</w:t>
      </w:r>
      <w:r w:rsidRPr="00E34CF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F7"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860F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F7"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F7"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8860F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F7"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</w:t>
      </w:r>
      <w:r w:rsidR="008860F7" w:rsidRPr="00E34CFF">
        <w:rPr>
          <w:rFonts w:ascii="Times New Roman" w:hAnsi="Times New Roman" w:cs="Times New Roman"/>
          <w:sz w:val="24"/>
          <w:szCs w:val="24"/>
        </w:rPr>
        <w:t>o</w:t>
      </w:r>
      <w:r w:rsidRPr="00E34CFF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</w:t>
      </w:r>
      <w:r w:rsidR="008860F7" w:rsidRPr="00E34CFF">
        <w:rPr>
          <w:rFonts w:ascii="Times New Roman" w:hAnsi="Times New Roman" w:cs="Times New Roman"/>
          <w:sz w:val="24"/>
          <w:szCs w:val="24"/>
        </w:rPr>
        <w:t>ĩ</w:t>
      </w:r>
      <w:r w:rsidRPr="00E34CFF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8860F7"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</w:t>
      </w:r>
      <w:r w:rsidR="001C2F83">
        <w:rPr>
          <w:rFonts w:ascii="Times New Roman" w:hAnsi="Times New Roman" w:cs="Times New Roman"/>
          <w:sz w:val="24"/>
          <w:szCs w:val="24"/>
        </w:rPr>
        <w:t>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AB</w:t>
      </w:r>
      <w:r w:rsidR="008860F7" w:rsidRPr="00E34CFF">
        <w:rPr>
          <w:rFonts w:ascii="Times New Roman" w:hAnsi="Times New Roman" w:cs="Times New Roman"/>
          <w:sz w:val="24"/>
          <w:szCs w:val="24"/>
        </w:rPr>
        <w:t>C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thổ</w:t>
      </w:r>
      <w:proofErr w:type="spellEnd"/>
      <w:r w:rsidR="008860F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</w:p>
    <w:p w14:paraId="7308F13F" w14:textId="08143922" w:rsidR="00B227EF" w:rsidRDefault="00804B0D" w:rsidP="000177EF">
      <w:pPr>
        <w:pStyle w:val="ListParagraph"/>
        <w:numPr>
          <w:ilvl w:val="1"/>
          <w:numId w:val="2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lastRenderedPageBreak/>
        <w:t>Ngoài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7">
        <w:rPr>
          <w:rFonts w:ascii="Times New Roman" w:hAnsi="Times New Roman" w:cs="Times New Roman"/>
          <w:sz w:val="24"/>
          <w:szCs w:val="24"/>
        </w:rPr>
        <w:t>do</w:t>
      </w:r>
      <w:r w:rsidRPr="00D266B1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29C4">
        <w:rPr>
          <w:rFonts w:ascii="Times New Roman" w:hAnsi="Times New Roman" w:cs="Times New Roman"/>
          <w:sz w:val="24"/>
          <w:szCs w:val="24"/>
        </w:rPr>
        <w:t>m</w:t>
      </w:r>
      <w:r w:rsidRPr="00D266B1">
        <w:rPr>
          <w:rFonts w:ascii="Times New Roman" w:hAnsi="Times New Roman" w:cs="Times New Roman"/>
          <w:sz w:val="24"/>
          <w:szCs w:val="24"/>
        </w:rPr>
        <w:t>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7BC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941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7BC">
        <w:rPr>
          <w:rFonts w:ascii="Times New Roman" w:hAnsi="Times New Roman" w:cs="Times New Roman"/>
          <w:sz w:val="24"/>
          <w:szCs w:val="24"/>
        </w:rPr>
        <w:t>c</w:t>
      </w:r>
      <w:r w:rsidRPr="00D266B1">
        <w:rPr>
          <w:rFonts w:ascii="Times New Roman" w:hAnsi="Times New Roman" w:cs="Times New Roman"/>
          <w:sz w:val="24"/>
          <w:szCs w:val="24"/>
        </w:rPr>
        <w:t>ạnh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.</w:t>
      </w:r>
    </w:p>
    <w:p w14:paraId="419A9345" w14:textId="645318D0" w:rsidR="00804B0D" w:rsidRPr="00E34CFF" w:rsidRDefault="00804B0D" w:rsidP="000177EF">
      <w:pPr>
        <w:pStyle w:val="ListParagraph"/>
        <w:numPr>
          <w:ilvl w:val="1"/>
          <w:numId w:val="2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“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òng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(1)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năm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thúc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</w:t>
      </w:r>
      <w:r w:rsidR="00B227E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</w:t>
      </w:r>
      <w:proofErr w:type="spellEnd"/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”]</w:t>
      </w:r>
      <w:r w:rsidRPr="00E34CF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lôi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kéo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6210A730" w14:textId="11F08329" w:rsidR="00804B0D" w:rsidRPr="009417BC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417BC">
        <w:rPr>
          <w:rFonts w:ascii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941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17BC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941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17BC">
        <w:rPr>
          <w:rFonts w:ascii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941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17BC">
        <w:rPr>
          <w:rFonts w:ascii="Times New Roman" w:hAnsi="Times New Roman" w:cs="Times New Roman"/>
          <w:b/>
          <w:bCs/>
          <w:sz w:val="24"/>
          <w:szCs w:val="24"/>
        </w:rPr>
        <w:t>lý</w:t>
      </w:r>
      <w:proofErr w:type="spellEnd"/>
    </w:p>
    <w:p w14:paraId="39AB0429" w14:textId="09CDBE95" w:rsidR="00C00820" w:rsidRPr="00E34CFF" w:rsidRDefault="00804B0D" w:rsidP="000177EF">
      <w:pPr>
        <w:pStyle w:val="ListParagraph"/>
        <w:numPr>
          <w:ilvl w:val="1"/>
          <w:numId w:val="2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7BC" w:rsidRPr="00E34CFF">
        <w:rPr>
          <w:rFonts w:ascii="Times New Roman" w:hAnsi="Times New Roman" w:cs="Times New Roman"/>
          <w:sz w:val="24"/>
          <w:szCs w:val="24"/>
        </w:rPr>
        <w:t>B</w:t>
      </w:r>
      <w:r w:rsidRPr="00E34CF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7BC" w:rsidRPr="00E34CFF">
        <w:rPr>
          <w:rFonts w:ascii="Times New Roman" w:hAnsi="Times New Roman" w:cs="Times New Roman"/>
          <w:sz w:val="24"/>
          <w:szCs w:val="24"/>
        </w:rPr>
        <w:t>B</w:t>
      </w:r>
      <w:r w:rsidRPr="00E34CF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BC75A" w14:textId="092C0DDC" w:rsidR="00C00820" w:rsidRPr="00E34CFF" w:rsidRDefault="00804B0D" w:rsidP="000177EF">
      <w:pPr>
        <w:pStyle w:val="ListParagraph"/>
        <w:numPr>
          <w:ilvl w:val="1"/>
          <w:numId w:val="2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kia. </w:t>
      </w:r>
    </w:p>
    <w:p w14:paraId="1DB24D69" w14:textId="7A1C70D5" w:rsidR="00550F87" w:rsidRPr="00E34CFF" w:rsidRDefault="00804B0D" w:rsidP="000177EF">
      <w:pPr>
        <w:pStyle w:val="ListParagraph"/>
        <w:numPr>
          <w:ilvl w:val="1"/>
          <w:numId w:val="2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11</w:t>
      </w:r>
      <w:r w:rsidR="009417BC" w:rsidRPr="00E34CFF">
        <w:rPr>
          <w:rFonts w:ascii="Times New Roman" w:hAnsi="Times New Roman" w:cs="Times New Roman"/>
          <w:sz w:val="24"/>
          <w:szCs w:val="24"/>
        </w:rPr>
        <w:t>.</w:t>
      </w:r>
      <w:r w:rsidRPr="00E34CF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11.2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tin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367BB9" w14:textId="30219942" w:rsidR="00804B0D" w:rsidRPr="00550F87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chấm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dứt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4F1384AF" w14:textId="062D48A9" w:rsidR="00550F87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tồn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2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năm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cũng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7EEEC060" w14:textId="2376050E" w:rsidR="00C00820" w:rsidRPr="00E34CFF" w:rsidRDefault="00E34CFF" w:rsidP="000177EF">
      <w:pPr>
        <w:pStyle w:val="ListParagraph"/>
        <w:numPr>
          <w:ilvl w:val="1"/>
          <w:numId w:val="2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cốt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7A145" w14:textId="01AC9E04" w:rsidR="00C00820" w:rsidRPr="00E34CFF" w:rsidRDefault="00E34CFF" w:rsidP="000177EF">
      <w:pPr>
        <w:pStyle w:val="ListParagraph"/>
        <w:numPr>
          <w:ilvl w:val="1"/>
          <w:numId w:val="2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B4BC3E" w14:textId="0AC60E49" w:rsidR="00C00820" w:rsidRPr="00E34CFF" w:rsidRDefault="00804B0D" w:rsidP="000177EF">
      <w:pPr>
        <w:pStyle w:val="ListParagraph"/>
        <w:numPr>
          <w:ilvl w:val="1"/>
          <w:numId w:val="2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3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2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năm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bắt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="009417BC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</w:p>
    <w:p w14:paraId="2FFB0AC2" w14:textId="6B1EC7A1" w:rsidR="00C00820" w:rsidRPr="00E34CFF" w:rsidRDefault="00804B0D" w:rsidP="000177EF">
      <w:pPr>
        <w:pStyle w:val="ListParagraph"/>
        <w:numPr>
          <w:ilvl w:val="1"/>
          <w:numId w:val="2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("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"); </w:t>
      </w:r>
    </w:p>
    <w:p w14:paraId="022937E0" w14:textId="0E2517DA" w:rsidR="00C00820" w:rsidRPr="00E34CFF" w:rsidRDefault="00804B0D" w:rsidP="000177EF">
      <w:pPr>
        <w:pStyle w:val="ListParagraph"/>
        <w:numPr>
          <w:ilvl w:val="2"/>
          <w:numId w:val="2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lastRenderedPageBreak/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</w:t>
      </w:r>
      <w:r w:rsidR="009417BC" w:rsidRPr="00E34CFF">
        <w:rPr>
          <w:rFonts w:ascii="Times New Roman" w:hAnsi="Times New Roman" w:cs="Times New Roman"/>
          <w:sz w:val="24"/>
          <w:szCs w:val="24"/>
        </w:rPr>
        <w:t>ê</w:t>
      </w:r>
      <w:r w:rsidRPr="00E34CF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52B3F" w14:textId="4010B2C7" w:rsidR="00550F87" w:rsidRPr="00E34CFF" w:rsidRDefault="00804B0D" w:rsidP="000177EF">
      <w:pPr>
        <w:pStyle w:val="ListParagraph"/>
        <w:numPr>
          <w:ilvl w:val="2"/>
          <w:numId w:val="2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56" w:rsidRPr="00E34CFF">
        <w:rPr>
          <w:rFonts w:ascii="Times New Roman" w:hAnsi="Times New Roman" w:cs="Times New Roman"/>
          <w:sz w:val="24"/>
          <w:szCs w:val="24"/>
        </w:rPr>
        <w:t>c</w:t>
      </w:r>
      <w:r w:rsidRPr="00E34CFF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056256" w:rsidRPr="00E34CFF">
        <w:rPr>
          <w:rFonts w:ascii="Times New Roman" w:hAnsi="Times New Roman" w:cs="Times New Roman"/>
          <w:sz w:val="24"/>
          <w:szCs w:val="24"/>
        </w:rPr>
        <w:t>c</w:t>
      </w:r>
      <w:r w:rsidRPr="00E34CF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</w:t>
      </w:r>
      <w:r w:rsidR="00056256" w:rsidRPr="00E34CFF">
        <w:rPr>
          <w:rFonts w:ascii="Times New Roman" w:hAnsi="Times New Roman" w:cs="Times New Roman"/>
          <w:sz w:val="24"/>
          <w:szCs w:val="24"/>
        </w:rPr>
        <w:t>ê</w:t>
      </w:r>
      <w:r w:rsidRPr="00E34CF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F8E5A9" w14:textId="16DD65C6" w:rsidR="00C00820" w:rsidRPr="00E34CFF" w:rsidRDefault="00056256" w:rsidP="000177EF">
      <w:pPr>
        <w:pStyle w:val="ListParagraph"/>
        <w:numPr>
          <w:ilvl w:val="1"/>
          <w:numId w:val="2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12,5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"12.5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45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cổ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kiểm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soát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(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à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</w:t>
      </w:r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ục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đích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, "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cố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kiểm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soát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"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kiểm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soát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trực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50%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vốn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biểu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(ii) qua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loại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vị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trí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hành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kia)."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12.5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  <w:r w:rsidR="00804B0D"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230D775D" w14:textId="46962130" w:rsidR="00C00820" w:rsidRPr="00E34CFF" w:rsidRDefault="00804B0D" w:rsidP="000177EF">
      <w:pPr>
        <w:pStyle w:val="ListParagraph"/>
        <w:numPr>
          <w:ilvl w:val="1"/>
          <w:numId w:val="2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9E170F" w14:textId="08841A7D" w:rsidR="00C00820" w:rsidRPr="00E34CFF" w:rsidRDefault="00804B0D" w:rsidP="000177EF">
      <w:pPr>
        <w:pStyle w:val="ListParagraph"/>
        <w:numPr>
          <w:ilvl w:val="2"/>
          <w:numId w:val="2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56" w:rsidRPr="00E34CFF">
        <w:rPr>
          <w:rFonts w:ascii="Times New Roman" w:hAnsi="Times New Roman" w:cs="Times New Roman"/>
          <w:sz w:val="24"/>
          <w:szCs w:val="24"/>
        </w:rPr>
        <w:t>c</w:t>
      </w:r>
      <w:r w:rsidRPr="00E34CFF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BEF91D" w14:textId="3E76E283" w:rsidR="00056256" w:rsidRPr="00E34CFF" w:rsidRDefault="00804B0D" w:rsidP="000177EF">
      <w:pPr>
        <w:pStyle w:val="ListParagraph"/>
        <w:numPr>
          <w:ilvl w:val="2"/>
          <w:numId w:val="2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D1F1EF" w14:textId="4EF8DE0A" w:rsidR="00C00820" w:rsidRPr="00E34CFF" w:rsidRDefault="00804B0D" w:rsidP="000177EF">
      <w:pPr>
        <w:pStyle w:val="ListParagraph"/>
        <w:numPr>
          <w:ilvl w:val="2"/>
          <w:numId w:val="5"/>
        </w:numPr>
        <w:spacing w:after="120" w:line="276" w:lineRule="auto"/>
        <w:ind w:left="1985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9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), 11</w:t>
      </w:r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r w:rsidRPr="00E34C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21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4D6DB4" w14:textId="3C6AFB0D" w:rsidR="00804B0D" w:rsidRPr="00E34CFF" w:rsidRDefault="00804B0D" w:rsidP="000177EF">
      <w:pPr>
        <w:pStyle w:val="ListParagraph"/>
        <w:numPr>
          <w:ilvl w:val="2"/>
          <w:numId w:val="5"/>
        </w:numPr>
        <w:spacing w:after="120" w:line="276" w:lineRule="auto"/>
        <w:ind w:left="1985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.</w:t>
      </w:r>
    </w:p>
    <w:p w14:paraId="7C767C30" w14:textId="20DF8576" w:rsidR="00804B0D" w:rsidRPr="00550F87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kiện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bất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khả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kháng</w:t>
      </w:r>
      <w:proofErr w:type="spellEnd"/>
    </w:p>
    <w:p w14:paraId="3C191432" w14:textId="081DC01C" w:rsidR="00C00820" w:rsidRPr="00E34CFF" w:rsidRDefault="00056256" w:rsidP="000177EF">
      <w:pPr>
        <w:pStyle w:val="ListParagraph"/>
        <w:numPr>
          <w:ilvl w:val="1"/>
          <w:numId w:val="2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="00804B0D" w:rsidRPr="00E34CF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hỏa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hoạn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lũ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lụt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bão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ngại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804B0D"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11978" w14:textId="0DCC9D0B" w:rsidR="00C00820" w:rsidRPr="00E34CFF" w:rsidRDefault="00804B0D" w:rsidP="000177EF">
      <w:pPr>
        <w:pStyle w:val="ListParagraph"/>
        <w:numPr>
          <w:ilvl w:val="1"/>
          <w:numId w:val="2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kháng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13</w:t>
      </w:r>
      <w:r w:rsidR="00550F87" w:rsidRPr="00E34CFF">
        <w:rPr>
          <w:rFonts w:ascii="Times New Roman" w:hAnsi="Times New Roman" w:cs="Times New Roman"/>
          <w:sz w:val="24"/>
          <w:szCs w:val="24"/>
        </w:rPr>
        <w:t>.</w:t>
      </w:r>
      <w:r w:rsidRPr="00E34CFF">
        <w:rPr>
          <w:rFonts w:ascii="Times New Roman" w:hAnsi="Times New Roman" w:cs="Times New Roman"/>
          <w:sz w:val="24"/>
          <w:szCs w:val="24"/>
        </w:rPr>
        <w:t>3</w:t>
      </w:r>
      <w:r w:rsidR="00056256" w:rsidRPr="00E34CFF">
        <w:rPr>
          <w:rFonts w:ascii="Times New Roman" w:hAnsi="Times New Roman" w:cs="Times New Roman"/>
          <w:sz w:val="24"/>
          <w:szCs w:val="24"/>
        </w:rPr>
        <w:t>.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13</w:t>
      </w:r>
      <w:r w:rsidR="00550F87" w:rsidRPr="00E34CFF">
        <w:rPr>
          <w:rFonts w:ascii="Times New Roman" w:hAnsi="Times New Roman" w:cs="Times New Roman"/>
          <w:sz w:val="24"/>
          <w:szCs w:val="24"/>
        </w:rPr>
        <w:t>.</w:t>
      </w:r>
      <w:r w:rsidRPr="00E34CFF">
        <w:rPr>
          <w:rFonts w:ascii="Times New Roman" w:hAnsi="Times New Roman" w:cs="Times New Roman"/>
          <w:sz w:val="24"/>
          <w:szCs w:val="24"/>
        </w:rPr>
        <w:t>4</w:t>
      </w:r>
      <w:r w:rsidR="00056256" w:rsidRPr="00E34CFF">
        <w:rPr>
          <w:rFonts w:ascii="Times New Roman" w:hAnsi="Times New Roman" w:cs="Times New Roman"/>
          <w:sz w:val="24"/>
          <w:szCs w:val="24"/>
        </w:rPr>
        <w:t>.</w:t>
      </w:r>
    </w:p>
    <w:p w14:paraId="78EFC327" w14:textId="788463D5" w:rsidR="00C00820" w:rsidRPr="00E34CFF" w:rsidRDefault="00804B0D" w:rsidP="000177EF">
      <w:pPr>
        <w:pStyle w:val="ListParagraph"/>
        <w:numPr>
          <w:ilvl w:val="1"/>
          <w:numId w:val="2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lastRenderedPageBreak/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Cs/>
          <w:sz w:val="24"/>
          <w:szCs w:val="24"/>
        </w:rPr>
        <w:t>kháng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9D08C" w14:textId="09F6D4A6" w:rsidR="00D70510" w:rsidRPr="00E34CFF" w:rsidRDefault="00804B0D" w:rsidP="000177EF">
      <w:pPr>
        <w:pStyle w:val="ListParagraph"/>
        <w:numPr>
          <w:ilvl w:val="1"/>
          <w:numId w:val="2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r w:rsidR="00D70510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số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khác</w:t>
      </w:r>
      <w:proofErr w:type="spellEnd"/>
      <w:r w:rsidR="00D70510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]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43159D" w14:textId="53EFD52C" w:rsidR="00550F87" w:rsidRPr="00E34CFF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13.4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“13.4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hai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trì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trở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vượt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quá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sáu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nỗ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sức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nhằm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bớt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30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văn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ảnh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="00D70510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.”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</w:p>
    <w:p w14:paraId="59B59D60" w14:textId="5D4897EE" w:rsidR="00804B0D" w:rsidRPr="00550F87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Thay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gánh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nặng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31CCAA" w14:textId="2895E551" w:rsidR="00550F87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vấn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nhau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đáng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biệt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gánh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nặng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nghiệp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nhỏ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vừa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(SME)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14.4 (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="00745E33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SME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năng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ích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vị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chiến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mạnh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(ii)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tồn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xảy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Gánh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nặng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="00745E33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321EA9C9" w14:textId="2EA734B0" w:rsidR="00110F37" w:rsidRPr="00E34CFF" w:rsidRDefault="00804B0D" w:rsidP="000177EF">
      <w:pPr>
        <w:pStyle w:val="ListParagraph"/>
        <w:numPr>
          <w:ilvl w:val="1"/>
          <w:numId w:val="3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CF9B2E6" w14:textId="27EB5FB8" w:rsidR="00110F37" w:rsidRPr="00E34CFF" w:rsidRDefault="00804B0D" w:rsidP="000177EF">
      <w:pPr>
        <w:pStyle w:val="ListParagraph"/>
        <w:numPr>
          <w:ilvl w:val="1"/>
          <w:numId w:val="3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dồn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C0E844" w14:textId="744DDB15" w:rsidR="00110F37" w:rsidRPr="00E34CFF" w:rsidRDefault="00804B0D" w:rsidP="000177EF">
      <w:pPr>
        <w:pStyle w:val="ListParagraph"/>
        <w:numPr>
          <w:ilvl w:val="2"/>
          <w:numId w:val="3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110F37">
        <w:rPr>
          <w:rFonts w:ascii="Times New Roman" w:hAnsi="Times New Roman" w:cs="Times New Roman"/>
          <w:sz w:val="24"/>
          <w:szCs w:val="24"/>
        </w:rPr>
        <w:t>;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403EB" w14:textId="492FE9A9" w:rsidR="00110F37" w:rsidRPr="00E34CFF" w:rsidRDefault="00804B0D" w:rsidP="000177EF">
      <w:pPr>
        <w:pStyle w:val="ListParagraph"/>
        <w:numPr>
          <w:ilvl w:val="2"/>
          <w:numId w:val="3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745E33" w:rsidRPr="00E34CFF">
        <w:rPr>
          <w:rFonts w:ascii="Times New Roman" w:hAnsi="Times New Roman" w:cs="Times New Roman"/>
          <w:sz w:val="24"/>
          <w:szCs w:val="24"/>
        </w:rPr>
        <w:t>;</w:t>
      </w:r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25484" w14:textId="4E23DE4C" w:rsidR="00550F87" w:rsidRPr="00E34CFF" w:rsidRDefault="00804B0D" w:rsidP="000177EF">
      <w:pPr>
        <w:pStyle w:val="ListParagraph"/>
        <w:numPr>
          <w:ilvl w:val="2"/>
          <w:numId w:val="3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50F87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54172" w14:textId="5113F282" w:rsidR="00745E33" w:rsidRDefault="00804B0D" w:rsidP="000177EF">
      <w:pPr>
        <w:pStyle w:val="ListParagraph"/>
        <w:numPr>
          <w:ilvl w:val="1"/>
          <w:numId w:val="3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túc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lastRenderedPageBreak/>
        <w:t>khi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55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18.2 </w:t>
      </w:r>
      <w:r w:rsidR="00745E33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bổ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14,4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áp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hình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thành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14,4.</w:t>
      </w:r>
      <w:r w:rsidR="00745E33" w:rsidRPr="00E34CFF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”]</w:t>
      </w:r>
      <w:r w:rsidR="00110F3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.</w:t>
      </w:r>
      <w:r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44BF2478" w14:textId="054B4A75" w:rsidR="00550F87" w:rsidRPr="00E34CFF" w:rsidRDefault="00804B0D" w:rsidP="000177EF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14.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="00745E33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 “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14</w:t>
      </w:r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4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3602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3602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òng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],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quyet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21. 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</w:t>
      </w:r>
      <w:r w:rsidR="00F3602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òa</w:t>
      </w:r>
      <w:proofErr w:type="spellEnd"/>
      <w:r w:rsidR="00F3602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3602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</w:t>
      </w:r>
      <w:r w:rsidR="00F3602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ố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3602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họ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hủy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."] </w:t>
      </w:r>
    </w:p>
    <w:p w14:paraId="05250FA6" w14:textId="34742D31" w:rsidR="00804B0D" w:rsidRPr="00550F87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danh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hay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550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F87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</w:p>
    <w:p w14:paraId="6C3458F7" w14:textId="3C4F1EFD" w:rsidR="00F3602D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chú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7, </w:t>
      </w:r>
      <w:proofErr w:type="spellStart"/>
      <w:r w:rsidR="00835FD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ất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khó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trách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nhiệm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đới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nước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danh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nhập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chia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sẻ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lợi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</w:t>
      </w:r>
      <w:r w:rsidR="00550F87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uận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</w:p>
    <w:p w14:paraId="21452A0C" w14:textId="55065467" w:rsidR="00804B0D" w:rsidRPr="00D266B1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60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, (</w:t>
      </w:r>
      <w:r w:rsidR="00F3602D">
        <w:rPr>
          <w:rFonts w:ascii="Times New Roman" w:hAnsi="Times New Roman" w:cs="Times New Roman"/>
          <w:sz w:val="24"/>
          <w:szCs w:val="24"/>
        </w:rPr>
        <w:t>i</w:t>
      </w:r>
      <w:r w:rsidRPr="00D266B1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(ii</w:t>
      </w:r>
      <w:r w:rsidR="00F3602D">
        <w:rPr>
          <w:rFonts w:ascii="Times New Roman" w:hAnsi="Times New Roman" w:cs="Times New Roman"/>
          <w:sz w:val="24"/>
          <w:szCs w:val="24"/>
        </w:rPr>
        <w:t>i</w:t>
      </w:r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kia (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.</w:t>
      </w:r>
    </w:p>
    <w:p w14:paraId="756ADCF5" w14:textId="67F67D9A" w:rsidR="00804B0D" w:rsidRPr="00F3602D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602D">
        <w:rPr>
          <w:rFonts w:ascii="Times New Roman" w:hAnsi="Times New Roman" w:cs="Times New Roman"/>
          <w:b/>
          <w:bCs/>
          <w:sz w:val="24"/>
          <w:szCs w:val="24"/>
        </w:rPr>
        <w:t>Ủy</w:t>
      </w:r>
      <w:proofErr w:type="spellEnd"/>
      <w:r w:rsidRPr="00F36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602D">
        <w:rPr>
          <w:rFonts w:ascii="Times New Roman" w:hAnsi="Times New Roman" w:cs="Times New Roman"/>
          <w:b/>
          <w:bCs/>
          <w:sz w:val="24"/>
          <w:szCs w:val="24"/>
        </w:rPr>
        <w:t>thác</w:t>
      </w:r>
      <w:proofErr w:type="spellEnd"/>
      <w:r w:rsidRPr="00F36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602D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36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602D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F36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602D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F36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602D">
        <w:rPr>
          <w:rFonts w:ascii="Times New Roman" w:hAnsi="Times New Roman" w:cs="Times New Roman"/>
          <w:b/>
          <w:bCs/>
          <w:sz w:val="24"/>
          <w:szCs w:val="24"/>
        </w:rPr>
        <w:t>thứ</w:t>
      </w:r>
      <w:proofErr w:type="spellEnd"/>
      <w:r w:rsidRPr="00F36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602D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F360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4278F5" w14:textId="2B4282AA" w:rsidR="00110F37" w:rsidRPr="00E34CFF" w:rsidRDefault="00804B0D" w:rsidP="000177EF">
      <w:pPr>
        <w:pStyle w:val="ListParagraph"/>
        <w:numPr>
          <w:ilvl w:val="1"/>
          <w:numId w:val="3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AA33FD" w14:textId="42A7AF01" w:rsidR="00804B0D" w:rsidRPr="00E34CFF" w:rsidRDefault="00804B0D" w:rsidP="000177EF">
      <w:pPr>
        <w:pStyle w:val="ListParagraph"/>
        <w:numPr>
          <w:ilvl w:val="1"/>
          <w:numId w:val="3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cầm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</w:t>
      </w:r>
      <w:r w:rsidR="00F3602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3602D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, hay 16</w:t>
      </w:r>
      <w:r w:rsidR="001C2F83">
        <w:rPr>
          <w:rFonts w:ascii="Times New Roman" w:hAnsi="Times New Roman" w:cs="Times New Roman"/>
          <w:sz w:val="24"/>
          <w:szCs w:val="24"/>
        </w:rPr>
        <w:t>.</w:t>
      </w:r>
      <w:r w:rsidRPr="00E34CFF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="00110F37">
        <w:rPr>
          <w:rFonts w:ascii="Times New Roman" w:hAnsi="Times New Roman" w:cs="Times New Roman"/>
          <w:sz w:val="24"/>
          <w:szCs w:val="24"/>
        </w:rPr>
        <w:t>k</w:t>
      </w:r>
      <w:r w:rsidRPr="00E34CFF">
        <w:rPr>
          <w:rFonts w:ascii="Times New Roman" w:hAnsi="Times New Roman" w:cs="Times New Roman"/>
          <w:sz w:val="24"/>
          <w:szCs w:val="24"/>
        </w:rPr>
        <w:t>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780DCA"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</w:p>
    <w:p w14:paraId="6D992C53" w14:textId="35F18797" w:rsidR="00804B0D" w:rsidRPr="00780DCA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0DCA">
        <w:rPr>
          <w:rFonts w:ascii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780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DCA">
        <w:rPr>
          <w:rFonts w:ascii="Times New Roman" w:hAnsi="Times New Roman" w:cs="Times New Roman"/>
          <w:b/>
          <w:bCs/>
          <w:sz w:val="24"/>
          <w:szCs w:val="24"/>
        </w:rPr>
        <w:t>báo</w:t>
      </w:r>
      <w:proofErr w:type="spellEnd"/>
    </w:p>
    <w:p w14:paraId="43A773E6" w14:textId="638D2C2F" w:rsidR="00110F37" w:rsidRPr="00E34CFF" w:rsidRDefault="00804B0D" w:rsidP="000177EF">
      <w:pPr>
        <w:pStyle w:val="ListParagraph"/>
        <w:numPr>
          <w:ilvl w:val="1"/>
          <w:numId w:val="3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0DCA" w:rsidRPr="00E34CFF">
        <w:rPr>
          <w:rFonts w:ascii="Times New Roman" w:hAnsi="Times New Roman" w:cs="Times New Roman"/>
          <w:sz w:val="24"/>
          <w:szCs w:val="24"/>
        </w:rPr>
        <w:t>c</w:t>
      </w:r>
      <w:r w:rsidRPr="00E34CFF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</w:t>
      </w:r>
      <w:r w:rsidR="00715CD8" w:rsidRPr="00E34CFF">
        <w:rPr>
          <w:rFonts w:ascii="Times New Roman" w:hAnsi="Times New Roman" w:cs="Times New Roman"/>
          <w:sz w:val="24"/>
          <w:szCs w:val="24"/>
        </w:rPr>
        <w:t>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email)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17.2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F136B" w14:textId="4EB09997" w:rsidR="00110F37" w:rsidRPr="00E34CFF" w:rsidRDefault="00804B0D" w:rsidP="000177EF">
      <w:pPr>
        <w:pStyle w:val="ListParagraph"/>
        <w:numPr>
          <w:ilvl w:val="1"/>
          <w:numId w:val="3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17.1,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4CFF">
        <w:rPr>
          <w:rFonts w:ascii="Times New Roman" w:hAnsi="Times New Roman" w:cs="Times New Roman"/>
          <w:sz w:val="24"/>
          <w:szCs w:val="24"/>
        </w:rPr>
        <w:t>:</w:t>
      </w:r>
    </w:p>
    <w:p w14:paraId="23AB430A" w14:textId="0CA14762" w:rsidR="00110F37" w:rsidRPr="00E34CFF" w:rsidRDefault="00804B0D" w:rsidP="000177EF">
      <w:pPr>
        <w:pStyle w:val="ListParagraph"/>
        <w:numPr>
          <w:ilvl w:val="2"/>
          <w:numId w:val="3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4CFF">
        <w:rPr>
          <w:rFonts w:ascii="Times New Roman" w:hAnsi="Times New Roman" w:cs="Times New Roman"/>
          <w:sz w:val="24"/>
          <w:szCs w:val="24"/>
        </w:rPr>
        <w:t xml:space="preserve">ABC: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]; </w:t>
      </w:r>
    </w:p>
    <w:p w14:paraId="30F40E04" w14:textId="223C2337" w:rsidR="00804B0D" w:rsidRPr="00E34CFF" w:rsidRDefault="00804B0D" w:rsidP="000177EF">
      <w:pPr>
        <w:pStyle w:val="ListParagraph"/>
        <w:numPr>
          <w:ilvl w:val="2"/>
          <w:numId w:val="3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4CFF">
        <w:rPr>
          <w:rFonts w:ascii="Times New Roman" w:hAnsi="Times New Roman" w:cs="Times New Roman"/>
          <w:sz w:val="24"/>
          <w:szCs w:val="24"/>
        </w:rPr>
        <w:t xml:space="preserve">XYZ: </w:t>
      </w: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780DCA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2AA29DA7" w14:textId="77777777" w:rsidR="009275D0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0DCA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780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DCA">
        <w:rPr>
          <w:rFonts w:ascii="Times New Roman" w:hAnsi="Times New Roman" w:cs="Times New Roman"/>
          <w:b/>
          <w:bCs/>
          <w:sz w:val="24"/>
          <w:szCs w:val="24"/>
        </w:rPr>
        <w:t>Toàn</w:t>
      </w:r>
      <w:proofErr w:type="spellEnd"/>
      <w:r w:rsidRPr="00780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DCA">
        <w:rPr>
          <w:rFonts w:ascii="Times New Roman" w:hAnsi="Times New Roman" w:cs="Times New Roman"/>
          <w:b/>
          <w:bCs/>
          <w:sz w:val="24"/>
          <w:szCs w:val="24"/>
        </w:rPr>
        <w:t>vẹn</w:t>
      </w:r>
      <w:proofErr w:type="spellEnd"/>
      <w:r w:rsidRPr="00780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DCA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780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DCA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780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DCA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66EAAFBE" w14:textId="77777777" w:rsidR="009275D0" w:rsidRPr="009275D0" w:rsidRDefault="00804B0D" w:rsidP="000177EF">
      <w:pPr>
        <w:pStyle w:val="ListParagraph"/>
        <w:numPr>
          <w:ilvl w:val="0"/>
          <w:numId w:val="33"/>
        </w:numPr>
        <w:spacing w:after="120" w:line="276" w:lineRule="auto"/>
        <w:ind w:left="576" w:hanging="576"/>
        <w:contextualSpacing w:val="0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tống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 w:rsidRPr="009275D0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E34CFF"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CFF" w:rsidRPr="009275D0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hay cam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nhầm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r w:rsidR="00F02C8E"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"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nhớ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tượng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</w:t>
      </w:r>
      <w:r w:rsidR="00F02C8E"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2DAF242F" w14:textId="66F52DCB" w:rsidR="00804B0D" w:rsidRPr="009275D0" w:rsidRDefault="00804B0D" w:rsidP="000177EF">
      <w:pPr>
        <w:pStyle w:val="ListParagraph"/>
        <w:numPr>
          <w:ilvl w:val="0"/>
          <w:numId w:val="33"/>
        </w:numPr>
        <w:spacing w:after="120" w:line="276" w:lineRule="auto"/>
        <w:ind w:left="576" w:hanging="576"/>
        <w:contextualSpacing w:val="0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r w:rsidRPr="009275D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e-mail)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C8E" w:rsidRPr="009275D0">
        <w:rPr>
          <w:rFonts w:ascii="Times New Roman" w:hAnsi="Times New Roman" w:cs="Times New Roman"/>
          <w:sz w:val="24"/>
          <w:szCs w:val="24"/>
        </w:rPr>
        <w:t>B</w:t>
      </w:r>
      <w:r w:rsidRPr="009275D0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. </w:t>
      </w:r>
      <w:r w:rsidR="00715CD8"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Tùy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chọn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áp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dụng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trong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trường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phân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tàu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chọn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trong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Điều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14,4 hay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tương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đương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(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đưa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ra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tòa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án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/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trọng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tài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)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được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đưa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nào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thêm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vào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câu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</w:t>
      </w:r>
      <w:r w:rsidR="00F02C8E"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ước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: “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Hoặc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theo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Điều</w:t>
      </w:r>
      <w:proofErr w:type="spellEnd"/>
      <w:r w:rsidRPr="009275D0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14.4".]</w:t>
      </w:r>
    </w:p>
    <w:p w14:paraId="114E1915" w14:textId="3E39E79C" w:rsidR="009275D0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Ảnh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hưởng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vô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hay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</w:p>
    <w:p w14:paraId="2DA47C5B" w14:textId="7E8A0E28" w:rsidR="00804B0D" w:rsidRPr="009275D0" w:rsidRDefault="00804B0D" w:rsidP="000177EF">
      <w:pPr>
        <w:pStyle w:val="ListParagraph"/>
        <w:numPr>
          <w:ilvl w:val="0"/>
          <w:numId w:val="34"/>
        </w:numPr>
        <w:spacing w:after="120" w:line="276" w:lineRule="auto"/>
        <w:ind w:left="576" w:hanging="57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C8E" w:rsidRPr="009275D0">
        <w:rPr>
          <w:rFonts w:ascii="Times New Roman" w:hAnsi="Times New Roman" w:cs="Times New Roman"/>
          <w:sz w:val="24"/>
          <w:szCs w:val="24"/>
        </w:rPr>
        <w:t>t</w:t>
      </w:r>
      <w:r w:rsidRPr="009275D0">
        <w:rPr>
          <w:rFonts w:ascii="Times New Roman" w:hAnsi="Times New Roman" w:cs="Times New Roman"/>
          <w:sz w:val="24"/>
          <w:szCs w:val="24"/>
        </w:rPr>
        <w:t>uyên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F02C8E"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2C8E" w:rsidRPr="009275D0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</w:t>
      </w:r>
      <w:r w:rsidR="00F02C8E" w:rsidRPr="009275D0">
        <w:rPr>
          <w:rFonts w:ascii="Times New Roman" w:hAnsi="Times New Roman" w:cs="Times New Roman"/>
          <w:sz w:val="24"/>
          <w:szCs w:val="24"/>
        </w:rPr>
        <w:t>ẽ</w:t>
      </w:r>
      <w:proofErr w:type="spellEnd"/>
      <w:r w:rsidR="00F02C8E" w:rsidRPr="009275D0">
        <w:rPr>
          <w:rFonts w:ascii="Times New Roman" w:hAnsi="Times New Roman" w:cs="Times New Roman"/>
          <w:sz w:val="24"/>
          <w:szCs w:val="24"/>
        </w:rPr>
        <w:t xml:space="preserve"> </w:t>
      </w:r>
      <w:r w:rsidRPr="009275D0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</w:t>
      </w:r>
      <w:r w:rsidR="00F02C8E" w:rsidRPr="009275D0">
        <w:rPr>
          <w:rFonts w:ascii="Times New Roman" w:hAnsi="Times New Roman" w:cs="Times New Roman"/>
          <w:sz w:val="24"/>
          <w:szCs w:val="24"/>
        </w:rPr>
        <w:t>ỗ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C8E" w:rsidRPr="009275D0">
        <w:rPr>
          <w:rFonts w:ascii="Times New Roman" w:hAnsi="Times New Roman" w:cs="Times New Roman"/>
          <w:sz w:val="24"/>
          <w:szCs w:val="24"/>
        </w:rPr>
        <w:t>B</w:t>
      </w:r>
      <w:r w:rsidRPr="009275D0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>.</w:t>
      </w:r>
    </w:p>
    <w:p w14:paraId="3835F5B3" w14:textId="77777777" w:rsidR="009275D0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phê</w:t>
      </w:r>
      <w:proofErr w:type="spellEnd"/>
      <w:r w:rsidRPr="00F0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2C8E">
        <w:rPr>
          <w:rFonts w:ascii="Times New Roman" w:hAnsi="Times New Roman" w:cs="Times New Roman"/>
          <w:b/>
          <w:bCs/>
          <w:sz w:val="24"/>
          <w:szCs w:val="24"/>
        </w:rPr>
        <w:t>chuẩn</w:t>
      </w:r>
      <w:proofErr w:type="spellEnd"/>
    </w:p>
    <w:p w14:paraId="383E45F3" w14:textId="7FAC2C59" w:rsidR="00E349B1" w:rsidRPr="009275D0" w:rsidRDefault="00804B0D" w:rsidP="000177EF">
      <w:pPr>
        <w:pStyle w:val="ListParagraph"/>
        <w:numPr>
          <w:ilvl w:val="0"/>
          <w:numId w:val="35"/>
        </w:numPr>
        <w:spacing w:after="120" w:line="276" w:lineRule="auto"/>
        <w:ind w:left="576" w:hanging="57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75D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E349B1" w:rsidRPr="009275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9275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275D0">
        <w:rPr>
          <w:rFonts w:ascii="Times New Roman" w:hAnsi="Times New Roman" w:cs="Times New Roman"/>
          <w:sz w:val="24"/>
          <w:szCs w:val="24"/>
        </w:rPr>
        <w:t xml:space="preserve"> </w:t>
      </w:r>
      <w:r w:rsidR="00E349B1"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E349B1"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loại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phê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chuẩn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quản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349B1"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</w:t>
      </w:r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ơ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chính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phủ</w:t>
      </w:r>
      <w:proofErr w:type="spellEnd"/>
      <w:r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E349B1" w:rsidRPr="009275D0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02161C9D" w14:textId="61278C0A" w:rsidR="00E349B1" w:rsidRDefault="00E349B1" w:rsidP="000177EF">
      <w:pPr>
        <w:pStyle w:val="ListParagraph"/>
        <w:numPr>
          <w:ilvl w:val="0"/>
          <w:numId w:val="35"/>
        </w:numPr>
        <w:spacing w:after="120" w:line="276" w:lineRule="auto"/>
        <w:ind w:left="576" w:hanging="5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804B0D" w:rsidRPr="00D266B1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A9C73C" w14:textId="71E0F5DD" w:rsidR="00804B0D" w:rsidRPr="00E349B1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49B1">
        <w:rPr>
          <w:rFonts w:ascii="Times New Roman" w:hAnsi="Times New Roman" w:cs="Times New Roman"/>
          <w:b/>
          <w:bCs/>
          <w:sz w:val="24"/>
          <w:szCs w:val="24"/>
        </w:rPr>
        <w:t>Thủ</w:t>
      </w:r>
      <w:proofErr w:type="spellEnd"/>
      <w:r w:rsidRPr="00E34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9B1">
        <w:rPr>
          <w:rFonts w:ascii="Times New Roman" w:hAnsi="Times New Roman" w:cs="Times New Roman"/>
          <w:b/>
          <w:bCs/>
          <w:sz w:val="24"/>
          <w:szCs w:val="24"/>
        </w:rPr>
        <w:t>tục</w:t>
      </w:r>
      <w:proofErr w:type="spellEnd"/>
      <w:r w:rsidRPr="00E34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9B1">
        <w:rPr>
          <w:rFonts w:ascii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E34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9B1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E34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9B1">
        <w:rPr>
          <w:rFonts w:ascii="Times New Roman" w:hAnsi="Times New Roman" w:cs="Times New Roman"/>
          <w:b/>
          <w:bCs/>
          <w:sz w:val="24"/>
          <w:szCs w:val="24"/>
        </w:rPr>
        <w:t>tranh</w:t>
      </w:r>
      <w:proofErr w:type="spellEnd"/>
      <w:r w:rsidRPr="00E34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49B1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</w:p>
    <w:p w14:paraId="276973F4" w14:textId="77777777" w:rsidR="00E82806" w:rsidRDefault="00804B0D" w:rsidP="000177EF">
      <w:pPr>
        <w:pStyle w:val="ListParagraph"/>
        <w:numPr>
          <w:ilvl w:val="1"/>
          <w:numId w:val="3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nhắc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kia</w:t>
      </w:r>
      <w:r w:rsidR="00835FD3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55827789"/>
    </w:p>
    <w:p w14:paraId="282A3420" w14:textId="7A5EF1A6" w:rsidR="00E349B1" w:rsidRPr="00E82806" w:rsidRDefault="00804B0D" w:rsidP="000177EF">
      <w:pPr>
        <w:pStyle w:val="ListParagraph"/>
        <w:numPr>
          <w:ilvl w:val="1"/>
          <w:numId w:val="3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mâu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thuẫn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Nam (VIAC)</w:t>
      </w:r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A20D70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70" w:rsidRPr="00E82806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duy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="00835FD3"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35FD3"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</w:t>
      </w:r>
      <w:r w:rsidR="00835FD3" w:rsidRPr="00E82806">
        <w:rPr>
          <w:rFonts w:ascii="Times New Roman" w:hAnsi="Times New Roman" w:cs="Times New Roman"/>
          <w:sz w:val="24"/>
          <w:szCs w:val="24"/>
        </w:rPr>
        <w:t>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</w:t>
      </w:r>
      <w:r w:rsidR="00835FD3" w:rsidRPr="00E82806">
        <w:rPr>
          <w:rFonts w:ascii="Times New Roman" w:hAnsi="Times New Roman" w:cs="Times New Roman"/>
          <w:sz w:val="24"/>
          <w:szCs w:val="24"/>
        </w:rPr>
        <w:t>ụ</w:t>
      </w:r>
      <w:r w:rsidRPr="00E8280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FC1279"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E349B1"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E349B1"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E349B1"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2426A2CF" w14:textId="47246549" w:rsidR="00804B0D" w:rsidRPr="00773675" w:rsidRDefault="00804B0D" w:rsidP="000177EF">
      <w:pPr>
        <w:pStyle w:val="ListParagraph"/>
        <w:numPr>
          <w:ilvl w:val="1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5827835"/>
      <w:bookmarkEnd w:id="2"/>
      <w:proofErr w:type="spellStart"/>
      <w:r w:rsidRPr="00773675">
        <w:rPr>
          <w:rFonts w:ascii="Times New Roman" w:hAnsi="Times New Roman" w:cs="Times New Roman"/>
          <w:b/>
          <w:bCs/>
          <w:sz w:val="24"/>
          <w:szCs w:val="24"/>
        </w:rPr>
        <w:t>Luật</w:t>
      </w:r>
      <w:proofErr w:type="spellEnd"/>
      <w:r w:rsidRPr="0077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675">
        <w:rPr>
          <w:rFonts w:ascii="Times New Roman" w:hAnsi="Times New Roman" w:cs="Times New Roman"/>
          <w:b/>
          <w:bCs/>
          <w:sz w:val="24"/>
          <w:szCs w:val="24"/>
        </w:rPr>
        <w:t>áp</w:t>
      </w:r>
      <w:proofErr w:type="spellEnd"/>
      <w:r w:rsidRPr="0077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675">
        <w:rPr>
          <w:rFonts w:ascii="Times New Roman" w:hAnsi="Times New Roman" w:cs="Times New Roman"/>
          <w:b/>
          <w:bCs/>
          <w:sz w:val="24"/>
          <w:szCs w:val="24"/>
        </w:rPr>
        <w:t>dụng</w:t>
      </w:r>
      <w:proofErr w:type="spellEnd"/>
    </w:p>
    <w:p w14:paraId="707EA464" w14:textId="4283A8EB" w:rsidR="00A20D70" w:rsidRDefault="00773675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="00804B0D" w:rsidRPr="00E34CF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804B0D" w:rsidRPr="00E34CF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0D" w:rsidRPr="00D266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804B0D" w:rsidRPr="00D266B1">
        <w:rPr>
          <w:rFonts w:ascii="Times New Roman" w:hAnsi="Times New Roman" w:cs="Times New Roman"/>
          <w:sz w:val="24"/>
          <w:szCs w:val="24"/>
        </w:rPr>
        <w:t>.</w:t>
      </w:r>
    </w:p>
    <w:p w14:paraId="6436BC19" w14:textId="0C4D63A9" w:rsidR="00773675" w:rsidRPr="00E34CFF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CFF">
        <w:rPr>
          <w:rFonts w:ascii="Times New Roman" w:hAnsi="Times New Roman" w:cs="Times New Roman"/>
          <w:b/>
          <w:sz w:val="24"/>
          <w:szCs w:val="24"/>
        </w:rPr>
        <w:t>CHỮ KÝ CỦA CÁC BÊN</w:t>
      </w:r>
    </w:p>
    <w:p w14:paraId="01D86D5E" w14:textId="0FF4F08A" w:rsidR="00804B0D" w:rsidRPr="00D266B1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ABC</w:t>
      </w:r>
    </w:p>
    <w:p w14:paraId="66E86CBD" w14:textId="62EB6C78" w:rsidR="00804B0D" w:rsidRPr="00D266B1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715CD8">
        <w:rPr>
          <w:rFonts w:ascii="Times New Roman" w:hAnsi="Times New Roman" w:cs="Times New Roman"/>
          <w:sz w:val="24"/>
          <w:szCs w:val="24"/>
        </w:rPr>
        <w:tab/>
      </w:r>
      <w:r w:rsidR="00715CD8"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 w:rsidR="0077367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DA07456" w14:textId="7CAD256F" w:rsidR="00804B0D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:</w:t>
      </w:r>
      <w:r w:rsidR="00773675">
        <w:rPr>
          <w:rFonts w:ascii="Times New Roman" w:hAnsi="Times New Roman" w:cs="Times New Roman"/>
          <w:sz w:val="24"/>
          <w:szCs w:val="24"/>
        </w:rPr>
        <w:t xml:space="preserve"> </w:t>
      </w:r>
      <w:r w:rsidR="00715CD8">
        <w:rPr>
          <w:rFonts w:ascii="Times New Roman" w:hAnsi="Times New Roman" w:cs="Times New Roman"/>
          <w:sz w:val="24"/>
          <w:szCs w:val="24"/>
        </w:rPr>
        <w:tab/>
      </w:r>
      <w:r w:rsidR="00715CD8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065FFFFD" w14:textId="77777777" w:rsidR="00773675" w:rsidRPr="00D266B1" w:rsidRDefault="00773675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C0ABF" w14:textId="19821E78" w:rsidR="00804B0D" w:rsidRPr="00D266B1" w:rsidRDefault="00804B0D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lastRenderedPageBreak/>
        <w:t>Ký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XYZ</w:t>
      </w:r>
    </w:p>
    <w:p w14:paraId="1B090AD5" w14:textId="77777777" w:rsidR="00715CD8" w:rsidRPr="00D266B1" w:rsidRDefault="00715CD8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6B1"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          </w:t>
      </w:r>
    </w:p>
    <w:p w14:paraId="44F13F0E" w14:textId="77777777" w:rsidR="00715CD8" w:rsidRDefault="00715CD8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6B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266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10E1A048" w14:textId="77777777" w:rsidR="00715CD8" w:rsidRDefault="00715CD8" w:rsidP="000177E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E964A" w14:textId="04D4C500" w:rsidR="00C23279" w:rsidRPr="00E34CFF" w:rsidRDefault="00C73363" w:rsidP="000177EF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CF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 w:rsidR="002758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58B0">
        <w:rPr>
          <w:rFonts w:ascii="Times New Roman" w:hAnsi="Times New Roman" w:cs="Times New Roman"/>
          <w:i/>
          <w:sz w:val="24"/>
          <w:szCs w:val="24"/>
        </w:rPr>
        <w:t>trích</w:t>
      </w:r>
      <w:proofErr w:type="spellEnd"/>
      <w:r w:rsidR="002758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58B0"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mẫu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nhỏ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Hướng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Tiếng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Anh: Model contracts for small firms – Legal guidance for doing international business),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(ITC),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dịch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thuật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bởi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WTO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nhập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Phòng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D70" w:rsidRPr="00E34CFF"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 w:rsidR="00A20D70" w:rsidRPr="00E34CFF">
        <w:rPr>
          <w:rFonts w:ascii="Times New Roman" w:hAnsi="Times New Roman" w:cs="Times New Roman"/>
          <w:i/>
          <w:sz w:val="24"/>
          <w:szCs w:val="24"/>
        </w:rPr>
        <w:t xml:space="preserve"> Nam (VCCI)</w:t>
      </w:r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3"/>
    </w:p>
    <w:sectPr w:rsidR="00C23279" w:rsidRPr="00E34CFF" w:rsidSect="003B7989">
      <w:footerReference w:type="default" r:id="rId8"/>
      <w:pgSz w:w="12240" w:h="15840"/>
      <w:pgMar w:top="993" w:right="1440" w:bottom="1276" w:left="1440" w:header="720" w:footer="5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BBBB" w14:textId="77777777" w:rsidR="008C398D" w:rsidRDefault="008C398D" w:rsidP="00F65AF2">
      <w:pPr>
        <w:spacing w:after="0" w:line="240" w:lineRule="auto"/>
      </w:pPr>
      <w:r>
        <w:separator/>
      </w:r>
    </w:p>
  </w:endnote>
  <w:endnote w:type="continuationSeparator" w:id="0">
    <w:p w14:paraId="4018306D" w14:textId="77777777" w:rsidR="008C398D" w:rsidRDefault="008C398D" w:rsidP="00F6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03530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EEFD3" w14:textId="0EE0576F" w:rsidR="00F57FF6" w:rsidRPr="00835FD3" w:rsidRDefault="00F57FF6" w:rsidP="00E34CFF">
        <w:pPr>
          <w:pStyle w:val="Footer"/>
          <w:jc w:val="center"/>
          <w:rPr>
            <w:rFonts w:ascii="Times New Roman" w:hAnsi="Times New Roman" w:cs="Times New Roman"/>
          </w:rPr>
        </w:pPr>
        <w:r w:rsidRPr="00835FD3">
          <w:rPr>
            <w:rFonts w:ascii="Times New Roman" w:hAnsi="Times New Roman" w:cs="Times New Roman"/>
          </w:rPr>
          <w:fldChar w:fldCharType="begin"/>
        </w:r>
        <w:r w:rsidRPr="00835FD3">
          <w:rPr>
            <w:rFonts w:ascii="Times New Roman" w:hAnsi="Times New Roman" w:cs="Times New Roman"/>
          </w:rPr>
          <w:instrText xml:space="preserve"> PAGE   \* MERGEFORMAT </w:instrText>
        </w:r>
        <w:r w:rsidRPr="00835FD3">
          <w:rPr>
            <w:rFonts w:ascii="Times New Roman" w:hAnsi="Times New Roman" w:cs="Times New Roman"/>
          </w:rPr>
          <w:fldChar w:fldCharType="separate"/>
        </w:r>
        <w:r w:rsidR="001F3EA9" w:rsidRPr="00835FD3">
          <w:rPr>
            <w:rFonts w:ascii="Times New Roman" w:hAnsi="Times New Roman" w:cs="Times New Roman"/>
            <w:noProof/>
          </w:rPr>
          <w:t>4</w:t>
        </w:r>
        <w:r w:rsidRPr="00835FD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5AD8" w14:textId="77777777" w:rsidR="008C398D" w:rsidRDefault="008C398D" w:rsidP="00F65AF2">
      <w:pPr>
        <w:spacing w:after="0" w:line="240" w:lineRule="auto"/>
      </w:pPr>
      <w:r>
        <w:separator/>
      </w:r>
    </w:p>
  </w:footnote>
  <w:footnote w:type="continuationSeparator" w:id="0">
    <w:p w14:paraId="3B567044" w14:textId="77777777" w:rsidR="008C398D" w:rsidRDefault="008C398D" w:rsidP="00F6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5F7"/>
    <w:multiLevelType w:val="multilevel"/>
    <w:tmpl w:val="D36A1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53368"/>
    <w:multiLevelType w:val="multilevel"/>
    <w:tmpl w:val="F1329E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5ED7522"/>
    <w:multiLevelType w:val="hybridMultilevel"/>
    <w:tmpl w:val="C87A7A16"/>
    <w:lvl w:ilvl="0" w:tplc="9126CD00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1508"/>
    <w:multiLevelType w:val="multilevel"/>
    <w:tmpl w:val="D36A1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DB65E3"/>
    <w:multiLevelType w:val="multilevel"/>
    <w:tmpl w:val="03AE6D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A1C4A"/>
    <w:multiLevelType w:val="multilevel"/>
    <w:tmpl w:val="57FA99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462BD0"/>
    <w:multiLevelType w:val="multilevel"/>
    <w:tmpl w:val="03AE6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81453C"/>
    <w:multiLevelType w:val="hybridMultilevel"/>
    <w:tmpl w:val="9F249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263B"/>
    <w:multiLevelType w:val="hybridMultilevel"/>
    <w:tmpl w:val="1A580828"/>
    <w:lvl w:ilvl="0" w:tplc="266201C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7341"/>
    <w:multiLevelType w:val="hybridMultilevel"/>
    <w:tmpl w:val="75D84510"/>
    <w:lvl w:ilvl="0" w:tplc="DEC277F8">
      <w:start w:val="1"/>
      <w:numFmt w:val="decimal"/>
      <w:lvlText w:val="20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37CE3"/>
    <w:multiLevelType w:val="multilevel"/>
    <w:tmpl w:val="8D624C7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26948D5"/>
    <w:multiLevelType w:val="multilevel"/>
    <w:tmpl w:val="D36A1C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0B107E"/>
    <w:multiLevelType w:val="multilevel"/>
    <w:tmpl w:val="4C8A97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44C3413"/>
    <w:multiLevelType w:val="multilevel"/>
    <w:tmpl w:val="03AE6D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8D6B75"/>
    <w:multiLevelType w:val="multilevel"/>
    <w:tmpl w:val="4C8A97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54D2EA4"/>
    <w:multiLevelType w:val="multilevel"/>
    <w:tmpl w:val="03AE6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471C6C"/>
    <w:multiLevelType w:val="multilevel"/>
    <w:tmpl w:val="00F2A12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FA20EF3"/>
    <w:multiLevelType w:val="multilevel"/>
    <w:tmpl w:val="D36A1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7C38F4"/>
    <w:multiLevelType w:val="multilevel"/>
    <w:tmpl w:val="AD8A15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5A5F19"/>
    <w:multiLevelType w:val="multilevel"/>
    <w:tmpl w:val="03AE6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356906"/>
    <w:multiLevelType w:val="hybridMultilevel"/>
    <w:tmpl w:val="69F8B7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67486"/>
    <w:multiLevelType w:val="multilevel"/>
    <w:tmpl w:val="00F2A12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40634B5D"/>
    <w:multiLevelType w:val="multilevel"/>
    <w:tmpl w:val="6DF0F7D0"/>
    <w:lvl w:ilvl="0">
      <w:start w:val="1"/>
      <w:numFmt w:val="decimal"/>
      <w:lvlText w:val="%1."/>
      <w:lvlJc w:val="left"/>
      <w:pPr>
        <w:ind w:left="53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2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1" w:hanging="1800"/>
      </w:pPr>
      <w:rPr>
        <w:rFonts w:hint="default"/>
      </w:rPr>
    </w:lvl>
  </w:abstractNum>
  <w:abstractNum w:abstractNumId="23" w15:restartNumberingAfterBreak="0">
    <w:nsid w:val="46087400"/>
    <w:multiLevelType w:val="hybridMultilevel"/>
    <w:tmpl w:val="C83652FE"/>
    <w:lvl w:ilvl="0" w:tplc="BD9EC554">
      <w:start w:val="1"/>
      <w:numFmt w:val="decimal"/>
      <w:lvlText w:val="%1."/>
      <w:lvlJc w:val="left"/>
      <w:pPr>
        <w:ind w:left="5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4259A"/>
    <w:multiLevelType w:val="multilevel"/>
    <w:tmpl w:val="57FA9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026134"/>
    <w:multiLevelType w:val="multilevel"/>
    <w:tmpl w:val="00F2A12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B440BF4"/>
    <w:multiLevelType w:val="multilevel"/>
    <w:tmpl w:val="A54853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3D60F9"/>
    <w:multiLevelType w:val="multilevel"/>
    <w:tmpl w:val="F1329E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F686864"/>
    <w:multiLevelType w:val="multilevel"/>
    <w:tmpl w:val="416E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864D13"/>
    <w:multiLevelType w:val="hybridMultilevel"/>
    <w:tmpl w:val="CB5AC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587C24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19CD1D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E3A76"/>
    <w:multiLevelType w:val="multilevel"/>
    <w:tmpl w:val="0C3236E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FFC5867"/>
    <w:multiLevelType w:val="hybridMultilevel"/>
    <w:tmpl w:val="765660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0475F"/>
    <w:multiLevelType w:val="multilevel"/>
    <w:tmpl w:val="03AE6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0451D7"/>
    <w:multiLevelType w:val="hybridMultilevel"/>
    <w:tmpl w:val="94167E2A"/>
    <w:lvl w:ilvl="0" w:tplc="9CCCDB94">
      <w:start w:val="1"/>
      <w:numFmt w:val="decimal"/>
      <w:lvlText w:val="18.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27C38"/>
    <w:multiLevelType w:val="hybridMultilevel"/>
    <w:tmpl w:val="8D38FF0C"/>
    <w:lvl w:ilvl="0" w:tplc="0409000F">
      <w:start w:val="1"/>
      <w:numFmt w:val="decimal"/>
      <w:lvlText w:val="%1.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5" w15:restartNumberingAfterBreak="0">
    <w:nsid w:val="7F2D3D90"/>
    <w:multiLevelType w:val="hybridMultilevel"/>
    <w:tmpl w:val="2A161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1290A"/>
    <w:multiLevelType w:val="multilevel"/>
    <w:tmpl w:val="FB34A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1"/>
  </w:num>
  <w:num w:numId="3">
    <w:abstractNumId w:val="7"/>
  </w:num>
  <w:num w:numId="4">
    <w:abstractNumId w:val="20"/>
  </w:num>
  <w:num w:numId="5">
    <w:abstractNumId w:val="29"/>
  </w:num>
  <w:num w:numId="6">
    <w:abstractNumId w:val="34"/>
  </w:num>
  <w:num w:numId="7">
    <w:abstractNumId w:val="22"/>
  </w:num>
  <w:num w:numId="8">
    <w:abstractNumId w:val="23"/>
  </w:num>
  <w:num w:numId="9">
    <w:abstractNumId w:val="36"/>
  </w:num>
  <w:num w:numId="10">
    <w:abstractNumId w:val="24"/>
  </w:num>
  <w:num w:numId="11">
    <w:abstractNumId w:val="5"/>
  </w:num>
  <w:num w:numId="12">
    <w:abstractNumId w:val="3"/>
  </w:num>
  <w:num w:numId="13">
    <w:abstractNumId w:val="0"/>
  </w:num>
  <w:num w:numId="14">
    <w:abstractNumId w:val="11"/>
  </w:num>
  <w:num w:numId="15">
    <w:abstractNumId w:val="17"/>
  </w:num>
  <w:num w:numId="16">
    <w:abstractNumId w:val="15"/>
  </w:num>
  <w:num w:numId="17">
    <w:abstractNumId w:val="32"/>
  </w:num>
  <w:num w:numId="18">
    <w:abstractNumId w:val="4"/>
  </w:num>
  <w:num w:numId="19">
    <w:abstractNumId w:val="6"/>
  </w:num>
  <w:num w:numId="20">
    <w:abstractNumId w:val="13"/>
  </w:num>
  <w:num w:numId="21">
    <w:abstractNumId w:val="19"/>
  </w:num>
  <w:num w:numId="22">
    <w:abstractNumId w:val="27"/>
  </w:num>
  <w:num w:numId="23">
    <w:abstractNumId w:val="1"/>
  </w:num>
  <w:num w:numId="24">
    <w:abstractNumId w:val="28"/>
  </w:num>
  <w:num w:numId="25">
    <w:abstractNumId w:val="14"/>
  </w:num>
  <w:num w:numId="26">
    <w:abstractNumId w:val="12"/>
  </w:num>
  <w:num w:numId="27">
    <w:abstractNumId w:val="18"/>
  </w:num>
  <w:num w:numId="28">
    <w:abstractNumId w:val="16"/>
  </w:num>
  <w:num w:numId="29">
    <w:abstractNumId w:val="21"/>
  </w:num>
  <w:num w:numId="30">
    <w:abstractNumId w:val="26"/>
  </w:num>
  <w:num w:numId="31">
    <w:abstractNumId w:val="25"/>
  </w:num>
  <w:num w:numId="32">
    <w:abstractNumId w:val="10"/>
  </w:num>
  <w:num w:numId="33">
    <w:abstractNumId w:val="33"/>
  </w:num>
  <w:num w:numId="34">
    <w:abstractNumId w:val="8"/>
  </w:num>
  <w:num w:numId="35">
    <w:abstractNumId w:val="9"/>
  </w:num>
  <w:num w:numId="36">
    <w:abstractNumId w:val="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AE"/>
    <w:rsid w:val="000177EF"/>
    <w:rsid w:val="00033CA2"/>
    <w:rsid w:val="00044390"/>
    <w:rsid w:val="00056256"/>
    <w:rsid w:val="0008549D"/>
    <w:rsid w:val="000926AF"/>
    <w:rsid w:val="000B7C70"/>
    <w:rsid w:val="000D7B01"/>
    <w:rsid w:val="00104B87"/>
    <w:rsid w:val="00110F37"/>
    <w:rsid w:val="0012288F"/>
    <w:rsid w:val="001372EE"/>
    <w:rsid w:val="0014298B"/>
    <w:rsid w:val="001604CD"/>
    <w:rsid w:val="0019422B"/>
    <w:rsid w:val="001C2F83"/>
    <w:rsid w:val="001F3EA9"/>
    <w:rsid w:val="002254EC"/>
    <w:rsid w:val="00232F7E"/>
    <w:rsid w:val="002729C4"/>
    <w:rsid w:val="002758B0"/>
    <w:rsid w:val="003373E7"/>
    <w:rsid w:val="00367BC9"/>
    <w:rsid w:val="003B7989"/>
    <w:rsid w:val="004116F8"/>
    <w:rsid w:val="00427850"/>
    <w:rsid w:val="0043130C"/>
    <w:rsid w:val="00440BF3"/>
    <w:rsid w:val="004C6DAD"/>
    <w:rsid w:val="004D32AF"/>
    <w:rsid w:val="00550F87"/>
    <w:rsid w:val="00583D5B"/>
    <w:rsid w:val="005B30A6"/>
    <w:rsid w:val="005C7923"/>
    <w:rsid w:val="005D2C25"/>
    <w:rsid w:val="005E5608"/>
    <w:rsid w:val="00685701"/>
    <w:rsid w:val="006D1928"/>
    <w:rsid w:val="00715CD8"/>
    <w:rsid w:val="0074596D"/>
    <w:rsid w:val="00745E33"/>
    <w:rsid w:val="00762C2A"/>
    <w:rsid w:val="0077241F"/>
    <w:rsid w:val="00773675"/>
    <w:rsid w:val="00780DCA"/>
    <w:rsid w:val="0079102B"/>
    <w:rsid w:val="007B6A0B"/>
    <w:rsid w:val="007D42F6"/>
    <w:rsid w:val="00804B0D"/>
    <w:rsid w:val="008324E6"/>
    <w:rsid w:val="00835FD3"/>
    <w:rsid w:val="00847FB7"/>
    <w:rsid w:val="008860F7"/>
    <w:rsid w:val="008C398D"/>
    <w:rsid w:val="009275D0"/>
    <w:rsid w:val="009417BC"/>
    <w:rsid w:val="009914AF"/>
    <w:rsid w:val="009970AE"/>
    <w:rsid w:val="009B0496"/>
    <w:rsid w:val="00A01A7F"/>
    <w:rsid w:val="00A20D70"/>
    <w:rsid w:val="00A40BD0"/>
    <w:rsid w:val="00AA0F86"/>
    <w:rsid w:val="00AF0C10"/>
    <w:rsid w:val="00B227EF"/>
    <w:rsid w:val="00B56EA4"/>
    <w:rsid w:val="00BC0F99"/>
    <w:rsid w:val="00C00820"/>
    <w:rsid w:val="00C23279"/>
    <w:rsid w:val="00C4356E"/>
    <w:rsid w:val="00C5140B"/>
    <w:rsid w:val="00C73363"/>
    <w:rsid w:val="00C737D3"/>
    <w:rsid w:val="00C774C3"/>
    <w:rsid w:val="00CB1AF2"/>
    <w:rsid w:val="00D266B1"/>
    <w:rsid w:val="00D50C14"/>
    <w:rsid w:val="00D52037"/>
    <w:rsid w:val="00D52A68"/>
    <w:rsid w:val="00D70510"/>
    <w:rsid w:val="00D709DD"/>
    <w:rsid w:val="00D81826"/>
    <w:rsid w:val="00D828CD"/>
    <w:rsid w:val="00DA48BE"/>
    <w:rsid w:val="00E15FD2"/>
    <w:rsid w:val="00E22FFF"/>
    <w:rsid w:val="00E3008E"/>
    <w:rsid w:val="00E349B1"/>
    <w:rsid w:val="00E34CFF"/>
    <w:rsid w:val="00E82806"/>
    <w:rsid w:val="00E83748"/>
    <w:rsid w:val="00F02C8E"/>
    <w:rsid w:val="00F3602D"/>
    <w:rsid w:val="00F57FF6"/>
    <w:rsid w:val="00F65AF2"/>
    <w:rsid w:val="00FA672E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FF51E"/>
  <w15:chartTrackingRefBased/>
  <w15:docId w15:val="{53DD0409-46ED-480E-97C1-33F4D9EF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F2"/>
  </w:style>
  <w:style w:type="paragraph" w:styleId="Footer">
    <w:name w:val="footer"/>
    <w:basedOn w:val="Normal"/>
    <w:link w:val="FooterChar"/>
    <w:uiPriority w:val="99"/>
    <w:unhideWhenUsed/>
    <w:rsid w:val="00F65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F2"/>
  </w:style>
  <w:style w:type="table" w:styleId="TableGrid">
    <w:name w:val="Table Grid"/>
    <w:basedOn w:val="TableNormal"/>
    <w:uiPriority w:val="39"/>
    <w:rsid w:val="00FA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A10BA-109E-4700-91A6-AF5D69FA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17</Pages>
  <Words>5831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Chau</dc:creator>
  <cp:keywords/>
  <dc:description/>
  <cp:lastModifiedBy>VIAC Laptop</cp:lastModifiedBy>
  <cp:revision>24</cp:revision>
  <dcterms:created xsi:type="dcterms:W3CDTF">2020-10-09T07:04:00Z</dcterms:created>
  <dcterms:modified xsi:type="dcterms:W3CDTF">2021-05-05T07:32:00Z</dcterms:modified>
</cp:coreProperties>
</file>