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138B" w14:textId="38C646DA" w:rsidR="00242901" w:rsidRPr="00731CAB" w:rsidRDefault="00F50022" w:rsidP="006C4145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HD007: </w:t>
      </w:r>
      <w:proofErr w:type="spellStart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>diện</w:t>
      </w:r>
      <w:proofErr w:type="spellEnd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>Thương</w:t>
      </w:r>
      <w:proofErr w:type="spellEnd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>mại</w:t>
      </w:r>
      <w:proofErr w:type="spellEnd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>Quốc</w:t>
      </w:r>
      <w:proofErr w:type="spellEnd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2901" w:rsidRPr="00731CAB">
        <w:rPr>
          <w:rFonts w:ascii="Times New Roman" w:hAnsi="Times New Roman" w:cs="Times New Roman"/>
          <w:b/>
          <w:bCs/>
          <w:sz w:val="24"/>
          <w:szCs w:val="24"/>
        </w:rPr>
        <w:t>tế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0022" w14:paraId="51C17BDC" w14:textId="77777777" w:rsidTr="00F50022">
        <w:tc>
          <w:tcPr>
            <w:tcW w:w="9350" w:type="dxa"/>
          </w:tcPr>
          <w:p w14:paraId="51B1DA29" w14:textId="77777777" w:rsidR="006C4145" w:rsidRDefault="006C4145" w:rsidP="006C414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222A0E" w14:textId="2648CB74" w:rsidR="00F50022" w:rsidRPr="00F50022" w:rsidRDefault="00F50022" w:rsidP="006C414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0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Giới</w:t>
            </w:r>
            <w:proofErr w:type="spellEnd"/>
            <w:r w:rsidRPr="00F50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0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thiệu</w:t>
            </w:r>
            <w:proofErr w:type="spellEnd"/>
          </w:p>
          <w:p w14:paraId="30B437A0" w14:textId="77777777" w:rsidR="00F50022" w:rsidRPr="00731CAB" w:rsidRDefault="00F50022" w:rsidP="006C4145">
            <w:pPr>
              <w:spacing w:after="120"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rãi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mối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mại</w:t>
            </w:r>
            <w:proofErr w:type="spellEnd"/>
          </w:p>
          <w:p w14:paraId="0CC6B51E" w14:textId="77777777" w:rsidR="00F50022" w:rsidRPr="00731CAB" w:rsidRDefault="00F50022" w:rsidP="006C4145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426" w:right="127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quảng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bá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đàm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phán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1EF805" w14:textId="77777777" w:rsidR="00F50022" w:rsidRPr="00731CAB" w:rsidRDefault="00F50022" w:rsidP="006C4145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426" w:right="127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quảng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bá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đàm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phán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lãnh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thổ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hay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sẵn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sàng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1DB387" w14:textId="77777777" w:rsidR="00F50022" w:rsidRPr="00731CAB" w:rsidRDefault="00F50022" w:rsidP="006C4145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426" w:right="127" w:hanging="426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ty. </w:t>
            </w:r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Khi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một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cá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nhân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trong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bất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cứ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trường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nào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cá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nhân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này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cũng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không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được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coi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nhân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viên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giao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F7D2879" w14:textId="77777777" w:rsidR="00F50022" w:rsidRPr="00731CAB" w:rsidRDefault="00F50022" w:rsidP="006C4145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426" w:right="127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Sức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mạnh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nằm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ở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mối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quan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hệ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này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với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khách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hàng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điểm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yếu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nó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bắt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nguồn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việc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những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khách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hàng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lại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thuộc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về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giao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EU,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đích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86690D" w14:textId="77777777" w:rsidR="00F50022" w:rsidRPr="00731CAB" w:rsidRDefault="00F50022" w:rsidP="006C4145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426" w:right="127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phải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tuân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quy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pháp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lý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bắt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buộc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về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chính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sách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ràng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tòa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giảm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78C8F4" w14:textId="77777777" w:rsidR="00F50022" w:rsidRPr="00731CAB" w:rsidRDefault="00F50022" w:rsidP="006C4145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426" w:right="127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bởi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C1F914" w14:textId="77777777" w:rsidR="00F50022" w:rsidRPr="00731CAB" w:rsidRDefault="00F50022" w:rsidP="006C4145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426" w:right="127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Khi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D5634" w14:textId="77777777" w:rsidR="00F50022" w:rsidRPr="00731CAB" w:rsidRDefault="00F50022" w:rsidP="006C4145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426" w:right="127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Mục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đích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chính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kia,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ràng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2.2),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2.3),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3,4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3.5),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thiểu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...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3.3, 3.7),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thiểu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4),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quảng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chợ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lãm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5),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qua Internet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6),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cạnh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7),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9),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10),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12),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hậu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15)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ủy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19).</w:t>
            </w:r>
          </w:p>
          <w:p w14:paraId="3D60BC84" w14:textId="77777777" w:rsidR="00F50022" w:rsidRPr="00731CAB" w:rsidRDefault="00F50022" w:rsidP="006C4145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426" w:right="127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Các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rà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soát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tất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cả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phương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án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khác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lựa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chọn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đích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28F706" w14:textId="77777777" w:rsidR="00F50022" w:rsidRDefault="00F50022" w:rsidP="006C4145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426" w:right="127" w:hanging="4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quy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định</w:t>
            </w:r>
            <w:proofErr w:type="spellEnd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chuẩn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13),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kháng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16)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17).</w:t>
            </w:r>
          </w:p>
          <w:p w14:paraId="014F1411" w14:textId="4F8E8248" w:rsidR="006C4145" w:rsidRPr="006C4145" w:rsidRDefault="006C4145" w:rsidP="006C4145">
            <w:pPr>
              <w:spacing w:after="120"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4344A" w14:textId="77777777" w:rsidR="0099162D" w:rsidRPr="006C4145" w:rsidRDefault="0099162D" w:rsidP="006C4145">
      <w:pPr>
        <w:pStyle w:val="ListParagraph"/>
        <w:spacing w:before="240" w:after="120" w:line="276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4145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*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  <w:u w:val="single"/>
        </w:rPr>
        <w:t>Ghi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  <w:u w:val="single"/>
        </w:rPr>
        <w:t>chú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  <w:u w:val="single"/>
        </w:rPr>
        <w:t>của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  <w:u w:val="single"/>
        </w:rPr>
        <w:t>người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  <w:u w:val="single"/>
        </w:rPr>
        <w:t>dịch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Loại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này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đặc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gần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giống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Môi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giới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quy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2005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Việt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Nam –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theo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đó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môi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giới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đó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môi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giới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làm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trung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gian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cho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mua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bán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hàng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hóa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cung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ứng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dịch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vụ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đàm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phán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giao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kết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mua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bán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hàng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hóa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dịch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vụ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hưởng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thù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lao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theo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môi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giới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Điều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150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2005).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Mặc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dù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vậy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quy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quyền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nghĩa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vụ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mẫu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này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rộng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hơn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hẹp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hơn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quy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Việt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Nam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môi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giới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D1265A6" w14:textId="234A5C5A" w:rsidR="0099162D" w:rsidRPr="00731CAB" w:rsidRDefault="0099162D" w:rsidP="006C4145">
      <w:pPr>
        <w:pStyle w:val="ListParagraph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99162D" w:rsidRPr="00731CAB" w:rsidSect="006C4145">
          <w:footerReference w:type="default" r:id="rId7"/>
          <w:type w:val="continuous"/>
          <w:pgSz w:w="11906" w:h="16838" w:code="9"/>
          <w:pgMar w:top="993" w:right="1440" w:bottom="1440" w:left="1440" w:header="720" w:footer="720" w:gutter="0"/>
          <w:cols w:space="720"/>
          <w:docGrid w:linePitch="360"/>
        </w:sectPr>
      </w:pP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khi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đó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khái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niệm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lại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chung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hơn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, bao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trùm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hơn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vì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thế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bao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gồm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nội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dung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mẫu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này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theo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đó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nhận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ủy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nhiệm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giao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thực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hiện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hoạt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động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danh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nghĩa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theo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chỉ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dẫn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giao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hưởng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thù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lao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” –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Điều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141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2005).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mặt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thuật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ngữ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thì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chữ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cũng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gần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hơn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chữ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“agent”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tiếng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Anh.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Vì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vậy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chúng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tôi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quyết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sử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dụng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cụm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từ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diện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mặc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dù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doanh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nghiệp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lựa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chọn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sử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dụng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thay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thế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bằng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cụm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từ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môi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giới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nghĩa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tương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i/>
          <w:iCs/>
          <w:sz w:val="24"/>
          <w:szCs w:val="24"/>
        </w:rPr>
        <w:t>đương</w:t>
      </w:r>
      <w:proofErr w:type="spellEnd"/>
      <w:r w:rsidRPr="006C414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90F6CBA" w14:textId="77777777" w:rsidR="006C4145" w:rsidRDefault="006C4145" w:rsidP="006C4145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BAE98D4" w14:textId="7F144E5E" w:rsidR="0099162D" w:rsidRPr="00731CAB" w:rsidRDefault="0099162D" w:rsidP="006C414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CAB">
        <w:rPr>
          <w:rFonts w:ascii="Times New Roman" w:hAnsi="Times New Roman" w:cs="Times New Roman"/>
          <w:b/>
          <w:bCs/>
          <w:sz w:val="24"/>
          <w:szCs w:val="24"/>
        </w:rPr>
        <w:lastRenderedPageBreak/>
        <w:t>HỢP ĐỒNG MẪU CỦA ITC VỀ ĐẠI DIỆN THƯƠNG MẠI QUỐC TẾ</w:t>
      </w:r>
    </w:p>
    <w:p w14:paraId="17A30309" w14:textId="77777777" w:rsidR="0099162D" w:rsidRPr="00731CAB" w:rsidRDefault="0099162D" w:rsidP="006C4145">
      <w:pPr>
        <w:pStyle w:val="ListParagraph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429E877" w14:textId="76C5A6F5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1C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CÁC BÊN:</w:t>
      </w:r>
    </w:p>
    <w:p w14:paraId="56C7E2D6" w14:textId="77777777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diện</w:t>
      </w:r>
      <w:proofErr w:type="spellEnd"/>
    </w:p>
    <w:p w14:paraId="4D562221" w14:textId="63B837D3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ty)</w:t>
      </w:r>
    </w:p>
    <w:p w14:paraId="2D428567" w14:textId="5AD0C71C" w:rsidR="0099162D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682586" w14:textId="487CA2EB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)</w:t>
      </w:r>
    </w:p>
    <w:p w14:paraId="7082E942" w14:textId="63A6EB32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748834" w14:textId="453F18BF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)</w:t>
      </w:r>
    </w:p>
    <w:p w14:paraId="20A530DA" w14:textId="4A4716E6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9A1CEB" w14:textId="00D12CFE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fax, email)</w:t>
      </w:r>
    </w:p>
    <w:p w14:paraId="68D7165B" w14:textId="389744E8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B7AF90" w14:textId="647CA46C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5417AC" w14:textId="028B4C45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)</w:t>
      </w:r>
    </w:p>
    <w:p w14:paraId="6623EEF0" w14:textId="0FFE98BC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F99708" w14:textId="77DEB13A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1CF314" w14:textId="4F323787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B3A25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7B3A25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7B3A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A25">
        <w:rPr>
          <w:rFonts w:ascii="Times New Roman" w:hAnsi="Times New Roman" w:cs="Times New Roman"/>
          <w:b/>
          <w:bCs/>
          <w:sz w:val="24"/>
          <w:szCs w:val="24"/>
        </w:rPr>
        <w:t>giao</w:t>
      </w:r>
      <w:proofErr w:type="spellEnd"/>
      <w:r w:rsidRPr="007B3A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A25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7B3A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A25">
        <w:rPr>
          <w:rFonts w:ascii="Times New Roman" w:hAnsi="Times New Roman" w:cs="Times New Roman"/>
          <w:b/>
          <w:bCs/>
          <w:sz w:val="24"/>
          <w:szCs w:val="24"/>
        </w:rPr>
        <w:t>diện</w:t>
      </w:r>
      <w:proofErr w:type="spellEnd"/>
      <w:r w:rsidRPr="007B3A2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4892682" w14:textId="77777777" w:rsidR="007E7693" w:rsidRPr="00731CAB" w:rsidRDefault="007E7693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8FB840" w14:textId="77777777" w:rsidR="007E7693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diện</w:t>
      </w:r>
      <w:proofErr w:type="spellEnd"/>
    </w:p>
    <w:p w14:paraId="74A63F0C" w14:textId="389C45A5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ty)</w:t>
      </w:r>
    </w:p>
    <w:p w14:paraId="5E288EFA" w14:textId="3EFE3E2D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CDA812" w14:textId="4091EF1D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)</w:t>
      </w:r>
    </w:p>
    <w:p w14:paraId="398EFBDC" w14:textId="43CB18C2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B585FD" w14:textId="35D0257A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)</w:t>
      </w:r>
    </w:p>
    <w:p w14:paraId="0D3A842D" w14:textId="45756A01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E237BD" w14:textId="470B7196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fax, email)</w:t>
      </w:r>
    </w:p>
    <w:p w14:paraId="4198AB7A" w14:textId="29C187C4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1173EA" w14:textId="1C4EBBA6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B813F2D" w14:textId="09BA6916" w:rsidR="0099162D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)</w:t>
      </w:r>
    </w:p>
    <w:p w14:paraId="68E0AA51" w14:textId="6F59F816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5E1F39" w14:textId="3D6C8F27" w:rsidR="007E7693" w:rsidRPr="00731CAB" w:rsidRDefault="00731CAB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6021D5" w14:textId="77777777" w:rsidR="007E7693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B3A25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7B3A25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7B3A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A25">
        <w:rPr>
          <w:rFonts w:ascii="Times New Roman" w:hAnsi="Times New Roman" w:cs="Times New Roman"/>
          <w:b/>
          <w:bCs/>
          <w:sz w:val="24"/>
          <w:szCs w:val="24"/>
        </w:rPr>
        <w:t>diện</w:t>
      </w:r>
      <w:proofErr w:type="spellEnd"/>
      <w:r w:rsidRPr="007B3A2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2A64A" w14:textId="77777777" w:rsidR="007E7693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lastRenderedPageBreak/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thêm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ví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thuế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chính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</w:p>
    <w:p w14:paraId="67CB337D" w14:textId="7001CFD7" w:rsidR="00FC5D39" w:rsidRPr="00731CAB" w:rsidRDefault="0099162D" w:rsidP="006C4145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B3A25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7B3A25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7B3A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A25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7B3A2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08F6FBB" w14:textId="77777777" w:rsidR="00FC5D39" w:rsidRPr="00731CAB" w:rsidRDefault="00FC5D39" w:rsidP="006C4145">
      <w:pPr>
        <w:tabs>
          <w:tab w:val="left" w:leader="dot" w:pos="9360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br w:type="page"/>
      </w:r>
    </w:p>
    <w:p w14:paraId="79E43A5F" w14:textId="104EB9BE" w:rsidR="00FC5D39" w:rsidRPr="00731CAB" w:rsidRDefault="00F50022" w:rsidP="006C4145">
      <w:pPr>
        <w:pStyle w:val="ListParagraph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CAB">
        <w:rPr>
          <w:rFonts w:ascii="Times New Roman" w:hAnsi="Times New Roman" w:cs="Times New Roman"/>
          <w:b/>
          <w:bCs/>
          <w:sz w:val="24"/>
          <w:szCs w:val="24"/>
        </w:rPr>
        <w:lastRenderedPageBreak/>
        <w:t>BỐI CẢNH CHUNG</w:t>
      </w:r>
    </w:p>
    <w:p w14:paraId="22FB8D60" w14:textId="77777777" w:rsidR="001A0036" w:rsidRPr="00731CAB" w:rsidRDefault="00FC5D39" w:rsidP="006C4145">
      <w:pPr>
        <w:pStyle w:val="ListParagraph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="001A0036"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1A0036" w:rsidRPr="00731CAB">
        <w:rPr>
          <w:rFonts w:ascii="Times New Roman" w:hAnsi="Times New Roman" w:cs="Times New Roman"/>
          <w:sz w:val="24"/>
          <w:szCs w:val="24"/>
        </w:rPr>
        <w:t>)</w:t>
      </w:r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loại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hóa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84EBAAA" w14:textId="77777777" w:rsidR="001A0036" w:rsidRPr="00731CAB" w:rsidRDefault="00FC5D39" w:rsidP="006C4145">
      <w:pPr>
        <w:pStyle w:val="ListParagraph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xóa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bỏ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thiết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</w:t>
      </w:r>
      <w:r w:rsidR="001A0036" w:rsidRPr="00731CAB">
        <w:rPr>
          <w:rFonts w:ascii="Times New Roman" w:hAnsi="Times New Roman" w:cs="Times New Roman"/>
          <w:sz w:val="24"/>
          <w:szCs w:val="24"/>
        </w:rPr>
        <w:t>ế</w:t>
      </w:r>
      <w:r w:rsidRPr="00731CA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A92908E" w14:textId="77777777" w:rsidR="00962AC6" w:rsidRDefault="00FC5D39" w:rsidP="006C4145">
      <w:pPr>
        <w:pStyle w:val="ListParagraph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="001A0036"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xóa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bỏ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phù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="001A0036"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sẵn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0B686180" w14:textId="77777777" w:rsidR="00F50022" w:rsidRDefault="00F50022" w:rsidP="006C414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B0D098" w14:textId="16EB9A62" w:rsidR="00FC5D39" w:rsidRPr="00F50022" w:rsidRDefault="00F50022" w:rsidP="006C4145">
      <w:pPr>
        <w:pStyle w:val="ListParagraph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022">
        <w:rPr>
          <w:rFonts w:ascii="Times New Roman" w:hAnsi="Times New Roman" w:cs="Times New Roman"/>
          <w:b/>
          <w:bCs/>
          <w:sz w:val="24"/>
          <w:szCs w:val="24"/>
        </w:rPr>
        <w:lastRenderedPageBreak/>
        <w:t>CÁC ĐIỀU KHOẢN HOẠT ĐỘNG</w:t>
      </w:r>
    </w:p>
    <w:p w14:paraId="758710E9" w14:textId="77777777" w:rsidR="001A0036" w:rsidRPr="00C178AE" w:rsidRDefault="00FC5D39" w:rsidP="006C4145">
      <w:pPr>
        <w:pStyle w:val="ListParagraph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Phạm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vi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chỉ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</w:p>
    <w:p w14:paraId="228FF2A1" w14:textId="77777777" w:rsidR="001A0036" w:rsidRPr="00731CAB" w:rsidRDefault="00FC5D39" w:rsidP="006C4145">
      <w:pPr>
        <w:pStyle w:val="ListParagraph"/>
        <w:numPr>
          <w:ilvl w:val="1"/>
          <w:numId w:val="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đẩy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="001A0036"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thổ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kênh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16734D77" w14:textId="606F8FCB" w:rsidR="001A0036" w:rsidRPr="00731CAB" w:rsidRDefault="00FC5D39" w:rsidP="006C4145">
      <w:pPr>
        <w:pStyle w:val="ListParagraph"/>
        <w:numPr>
          <w:ilvl w:val="1"/>
          <w:numId w:val="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: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mô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="001A0036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</w:p>
    <w:p w14:paraId="32EC4D1E" w14:textId="36C00C1A" w:rsidR="001A0036" w:rsidRPr="00962AC6" w:rsidRDefault="001A0036" w:rsidP="006C4145">
      <w:pPr>
        <w:pStyle w:val="ListParagraph"/>
        <w:numPr>
          <w:ilvl w:val="0"/>
          <w:numId w:val="6"/>
        </w:numPr>
        <w:tabs>
          <w:tab w:val="left" w:pos="540"/>
          <w:tab w:val="left" w:leader="dot" w:pos="9072"/>
        </w:tabs>
        <w:spacing w:after="120" w:line="276" w:lineRule="auto"/>
        <w:ind w:left="54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AC6">
        <w:rPr>
          <w:rFonts w:ascii="Times New Roman" w:hAnsi="Times New Roman" w:cs="Times New Roman"/>
          <w:sz w:val="24"/>
          <w:szCs w:val="24"/>
        </w:rPr>
        <w:t>;</w:t>
      </w:r>
    </w:p>
    <w:p w14:paraId="151254D7" w14:textId="009D1A77" w:rsidR="001A0036" w:rsidRPr="00962AC6" w:rsidRDefault="001A0036" w:rsidP="006C4145">
      <w:pPr>
        <w:pStyle w:val="ListParagraph"/>
        <w:numPr>
          <w:ilvl w:val="0"/>
          <w:numId w:val="6"/>
        </w:numPr>
        <w:tabs>
          <w:tab w:val="left" w:pos="540"/>
          <w:tab w:val="left" w:leader="dot" w:pos="9072"/>
        </w:tabs>
        <w:spacing w:after="120" w:line="276" w:lineRule="auto"/>
        <w:ind w:left="54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AC6">
        <w:rPr>
          <w:rFonts w:ascii="Times New Roman" w:hAnsi="Times New Roman" w:cs="Times New Roman"/>
          <w:sz w:val="24"/>
          <w:szCs w:val="24"/>
        </w:rPr>
        <w:t>;</w:t>
      </w:r>
    </w:p>
    <w:p w14:paraId="5A993853" w14:textId="19CC7D3F" w:rsidR="00FC5D39" w:rsidRPr="00962AC6" w:rsidRDefault="00FC5D39" w:rsidP="006C4145">
      <w:pPr>
        <w:pStyle w:val="ListParagraph"/>
        <w:numPr>
          <w:ilvl w:val="1"/>
          <w:numId w:val="5"/>
        </w:numPr>
        <w:tabs>
          <w:tab w:val="left" w:leader="dot" w:pos="9072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ED7D31" w:themeColor="accent2"/>
          <w:sz w:val="24"/>
          <w:szCs w:val="24"/>
        </w:rPr>
      </w:pPr>
      <w:proofErr w:type="spellStart"/>
      <w:r w:rsidRPr="00962AC6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(hay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thụ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thổ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962AC6">
        <w:rPr>
          <w:rFonts w:ascii="Times New Roman" w:hAnsi="Times New Roman" w:cs="Times New Roman"/>
          <w:sz w:val="24"/>
          <w:szCs w:val="24"/>
        </w:rPr>
        <w:t xml:space="preserve">: </w:t>
      </w:r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mô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tả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khu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vực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</w:p>
    <w:p w14:paraId="54EDA9FC" w14:textId="59C45165" w:rsidR="001A0036" w:rsidRPr="00962AC6" w:rsidRDefault="001A0036" w:rsidP="006C4145">
      <w:pPr>
        <w:pStyle w:val="ListParagraph"/>
        <w:numPr>
          <w:ilvl w:val="0"/>
          <w:numId w:val="6"/>
        </w:numPr>
        <w:tabs>
          <w:tab w:val="left" w:pos="540"/>
          <w:tab w:val="left" w:leader="dot" w:pos="9072"/>
        </w:tabs>
        <w:spacing w:after="120" w:line="276" w:lineRule="auto"/>
        <w:ind w:left="54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AC6">
        <w:rPr>
          <w:rFonts w:ascii="Times New Roman" w:hAnsi="Times New Roman" w:cs="Times New Roman"/>
          <w:sz w:val="24"/>
          <w:szCs w:val="24"/>
        </w:rPr>
        <w:t>;</w:t>
      </w:r>
    </w:p>
    <w:p w14:paraId="2CD8F303" w14:textId="7501EF6B" w:rsidR="001A0036" w:rsidRPr="00962AC6" w:rsidRDefault="00962AC6" w:rsidP="006C4145">
      <w:pPr>
        <w:pStyle w:val="ListParagraph"/>
        <w:numPr>
          <w:ilvl w:val="0"/>
          <w:numId w:val="6"/>
        </w:numPr>
        <w:tabs>
          <w:tab w:val="left" w:pos="540"/>
          <w:tab w:val="left" w:leader="dot" w:pos="9072"/>
        </w:tabs>
        <w:spacing w:after="120" w:line="276" w:lineRule="auto"/>
        <w:ind w:left="54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2AC6">
        <w:rPr>
          <w:rFonts w:ascii="Times New Roman" w:hAnsi="Times New Roman" w:cs="Times New Roman"/>
          <w:sz w:val="24"/>
          <w:szCs w:val="24"/>
        </w:rPr>
        <w:t>;</w:t>
      </w:r>
    </w:p>
    <w:p w14:paraId="43129E18" w14:textId="3FCEAA5A" w:rsidR="00FC5D39" w:rsidRPr="00731CAB" w:rsidRDefault="00FC5D39" w:rsidP="006C4145">
      <w:pPr>
        <w:pStyle w:val="ListParagraph"/>
        <w:numPr>
          <w:ilvl w:val="1"/>
          <w:numId w:val="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kênh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xóa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="001A003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kênh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: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mô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kênh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</w:p>
    <w:p w14:paraId="3C47E5AC" w14:textId="494A8B0A" w:rsidR="00FC5D39" w:rsidRPr="00962AC6" w:rsidRDefault="00FC5D39" w:rsidP="006C4145">
      <w:pPr>
        <w:pStyle w:val="ListParagraph"/>
        <w:tabs>
          <w:tab w:val="left" w:pos="54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Bình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luận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giới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hạn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phạm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vi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chỉ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nhóm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khách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hàng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nhất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.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đến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việc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xác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kênh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xúc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tiến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liệt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</w:t>
      </w:r>
      <w:r w:rsidR="001A0036"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ê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danh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sách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loại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kênh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cụ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nhà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lẻ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người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sử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công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nghiệp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nhà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phân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phối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lớn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liệt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kê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những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loại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kênh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mà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áp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Pr="00962AC6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</w:t>
      </w:r>
    </w:p>
    <w:p w14:paraId="0AC5C42A" w14:textId="77777777" w:rsidR="001A0036" w:rsidRPr="00C178AE" w:rsidRDefault="00FC5D39" w:rsidP="006C4145">
      <w:pPr>
        <w:pStyle w:val="ListParagraph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Nghĩa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diện</w:t>
      </w:r>
      <w:proofErr w:type="spellEnd"/>
    </w:p>
    <w:p w14:paraId="7A9A28CC" w14:textId="77777777" w:rsidR="00C21D10" w:rsidRPr="00731CAB" w:rsidRDefault="00FC5D39" w:rsidP="006C4145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Khi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0C1D188" w14:textId="77777777" w:rsidR="00C21D10" w:rsidRPr="00731CAB" w:rsidRDefault="00547244" w:rsidP="006C4145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xóa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="00C21D1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đẩy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kênh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xóa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bỏ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D10" w:rsidRPr="00731CAB">
        <w:rPr>
          <w:rFonts w:ascii="Times New Roman" w:hAnsi="Times New Roman" w:cs="Times New Roman"/>
          <w:sz w:val="24"/>
          <w:szCs w:val="24"/>
        </w:rPr>
        <w:t>B</w:t>
      </w:r>
      <w:r w:rsidRPr="00731CAB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6E1C7627" w14:textId="4D417DB6" w:rsidR="00547244" w:rsidRPr="00731CAB" w:rsidRDefault="00547244" w:rsidP="006C4145">
      <w:pPr>
        <w:pStyle w:val="ListParagraph"/>
        <w:tabs>
          <w:tab w:val="left" w:pos="54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ràng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buộc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): “2.2.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giới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thiệu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) 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xóa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bỏ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],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thúc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đẩy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đàm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mua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21D1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oà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qua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kênh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) 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xóa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bỏ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="00C21D1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chuyển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</w:t>
      </w:r>
      <w:r w:rsidR="00C21D1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”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</w:t>
      </w:r>
    </w:p>
    <w:p w14:paraId="36D7F66C" w14:textId="77777777" w:rsidR="00C21D10" w:rsidRPr="00731CAB" w:rsidRDefault="00547244" w:rsidP="006C4145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C21D10"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1D10"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sớm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lastRenderedPageBreak/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D10"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06D9FA84" w14:textId="77777777" w:rsidR="00C21D10" w:rsidRPr="00731CAB" w:rsidRDefault="00547244" w:rsidP="006C4145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chú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ra.</w:t>
      </w:r>
    </w:p>
    <w:p w14:paraId="77C37CEC" w14:textId="77777777" w:rsidR="00C21D10" w:rsidRPr="00731CAB" w:rsidRDefault="00547244" w:rsidP="006C4145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mẫn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rõ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ngôn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ngữ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</w:t>
      </w:r>
      <w:r w:rsidR="00C21D1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ê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="00C21D1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="00C21D10"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3D8E76DD" w14:textId="584F5D84" w:rsidR="00547244" w:rsidRPr="00731CAB" w:rsidRDefault="00547244" w:rsidP="006C4145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238E5460" w14:textId="77777777" w:rsidR="00C21D10" w:rsidRPr="00731CAB" w:rsidRDefault="00547244" w:rsidP="006C4145">
      <w:pPr>
        <w:pStyle w:val="ListParagraph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</w:p>
    <w:p w14:paraId="79EBCFED" w14:textId="77777777" w:rsidR="00C21D10" w:rsidRPr="00731CAB" w:rsidRDefault="00547244" w:rsidP="006C4145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3A1E3E0A" w14:textId="77777777" w:rsidR="00C21D10" w:rsidRPr="00731CAB" w:rsidRDefault="00547244" w:rsidP="006C4145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thù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lao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4DB2DC77" w14:textId="77777777" w:rsidR="00C21D10" w:rsidRPr="00731CAB" w:rsidRDefault="00547244" w:rsidP="006C4145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2.2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thiểu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).</w:t>
      </w:r>
    </w:p>
    <w:p w14:paraId="184EF10D" w14:textId="77777777" w:rsidR="00C21D10" w:rsidRPr="00731CAB" w:rsidRDefault="00547244" w:rsidP="006C4145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trễ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12A14B18" w14:textId="77777777" w:rsidR="00C21D10" w:rsidRPr="00731CAB" w:rsidRDefault="00C21D10" w:rsidP="006C4145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</w:t>
      </w:r>
      <w:r w:rsidR="00547244" w:rsidRPr="00731CAB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chối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244"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547244" w:rsidRPr="00731CAB">
        <w:rPr>
          <w:rFonts w:ascii="Times New Roman" w:hAnsi="Times New Roman" w:cs="Times New Roman"/>
          <w:sz w:val="24"/>
          <w:szCs w:val="24"/>
        </w:rPr>
        <w:t>:</w:t>
      </w:r>
    </w:p>
    <w:p w14:paraId="70807954" w14:textId="77777777" w:rsidR="00611C67" w:rsidRPr="00731CAB" w:rsidRDefault="00547244" w:rsidP="006C4145">
      <w:pPr>
        <w:pStyle w:val="ListParagraph"/>
        <w:numPr>
          <w:ilvl w:val="2"/>
          <w:numId w:val="8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ngờ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C21D10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1E5FD418" w14:textId="77777777" w:rsidR="00611C67" w:rsidRPr="00731CAB" w:rsidRDefault="00611C67" w:rsidP="006C4145">
      <w:pPr>
        <w:pStyle w:val="ListParagraph"/>
        <w:numPr>
          <w:ilvl w:val="2"/>
          <w:numId w:val="8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vọng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12B41AB" w14:textId="77777777" w:rsidR="00611C67" w:rsidRPr="00731CAB" w:rsidRDefault="00611C67" w:rsidP="006C4145">
      <w:pPr>
        <w:pStyle w:val="ListParagraph"/>
        <w:numPr>
          <w:ilvl w:val="2"/>
          <w:numId w:val="8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thiểu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3.3.</w:t>
      </w:r>
    </w:p>
    <w:p w14:paraId="749AA23F" w14:textId="77777777" w:rsidR="00611C67" w:rsidRPr="00731CAB" w:rsidRDefault="00611C67" w:rsidP="006C4145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6213485F" w14:textId="77777777" w:rsidR="00611C67" w:rsidRPr="00731CAB" w:rsidRDefault="00611C67" w:rsidP="006C4145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tức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lastRenderedPageBreak/>
        <w:t>hơn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vọng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trễ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4FC8D3DE" w14:textId="77777777" w:rsidR="00611C67" w:rsidRPr="00731CAB" w:rsidRDefault="00611C67" w:rsidP="006C4145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bao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ở,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33B33A91" w14:textId="6C4C8CF7" w:rsidR="00611C67" w:rsidRPr="00731CAB" w:rsidRDefault="00611C67" w:rsidP="006C4145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DDA9DE5" w14:textId="375F4BD4" w:rsidR="00611C67" w:rsidRPr="00C178AE" w:rsidRDefault="00611C67" w:rsidP="006C4145">
      <w:pPr>
        <w:pStyle w:val="ListParagraph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đặt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tối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thiểu</w:t>
      </w:r>
      <w:proofErr w:type="spellEnd"/>
    </w:p>
    <w:p w14:paraId="371C713B" w14:textId="77777777" w:rsidR="00611C67" w:rsidRPr="00731CAB" w:rsidRDefault="00611C67" w:rsidP="006C4145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đáp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thiểu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1E214CE4" w14:textId="77777777" w:rsidR="00611C67" w:rsidRPr="00731CAB" w:rsidRDefault="00611C67" w:rsidP="006C4145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].</w:t>
      </w:r>
    </w:p>
    <w:p w14:paraId="30105143" w14:textId="77777777" w:rsidR="00611C67" w:rsidRPr="00731CAB" w:rsidRDefault="00611C67" w:rsidP="006C4145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thiểu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đáp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:</w:t>
      </w:r>
    </w:p>
    <w:p w14:paraId="4E319F40" w14:textId="77777777" w:rsidR="00611C67" w:rsidRPr="00731CAB" w:rsidRDefault="00611C67" w:rsidP="006C4145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1CAB">
        <w:rPr>
          <w:rFonts w:ascii="Times New Roman" w:hAnsi="Times New Roman" w:cs="Times New Roman"/>
          <w:sz w:val="24"/>
          <w:szCs w:val="24"/>
        </w:rPr>
        <w:t>14;</w:t>
      </w:r>
      <w:proofErr w:type="gramEnd"/>
    </w:p>
    <w:p w14:paraId="4D5B009B" w14:textId="77777777" w:rsidR="00611C67" w:rsidRPr="00731CAB" w:rsidRDefault="00611C67" w:rsidP="006C4145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Xóa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); hay</w:t>
      </w:r>
    </w:p>
    <w:p w14:paraId="111074BC" w14:textId="52BE9AA6" w:rsidR="00611C67" w:rsidRPr="00731CAB" w:rsidRDefault="00611C67" w:rsidP="006C4145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hẹp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4762DCE0" w14:textId="77777777" w:rsidR="00611C67" w:rsidRPr="00C178AE" w:rsidRDefault="00611C67" w:rsidP="006C4145">
      <w:pPr>
        <w:pStyle w:val="ListParagraph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Quảng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cáo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hội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chợ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triển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lãm</w:t>
      </w:r>
      <w:proofErr w:type="spellEnd"/>
    </w:p>
    <w:p w14:paraId="76BA2AAA" w14:textId="77777777" w:rsidR="00611C67" w:rsidRPr="00731CAB" w:rsidRDefault="00611C67" w:rsidP="006C4145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quảng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22DCD3A1" w14:textId="712D6B4A" w:rsidR="00611C67" w:rsidRPr="00731CAB" w:rsidRDefault="00611C67" w:rsidP="006C4145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Chi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quảng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4742B9" w14:textId="77777777" w:rsidR="00611C67" w:rsidRPr="00731CAB" w:rsidRDefault="00611C67" w:rsidP="006C4145">
      <w:pPr>
        <w:pStyle w:val="ListParagraph"/>
        <w:spacing w:after="120" w:line="276" w:lineRule="auto"/>
        <w:ind w:left="63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“5.2. Chi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phí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chiến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quảng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thỏa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phân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bổ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tỷ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lệ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</w:t>
      </w:r>
    </w:p>
    <w:p w14:paraId="2BD78C00" w14:textId="77777777" w:rsidR="00611C67" w:rsidRPr="00731CAB" w:rsidRDefault="00611C67" w:rsidP="006C4145">
      <w:pPr>
        <w:pStyle w:val="ListParagraph"/>
        <w:spacing w:after="120" w:line="276" w:lineRule="auto"/>
        <w:ind w:left="63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: ..........%</w:t>
      </w:r>
    </w:p>
    <w:p w14:paraId="7679F209" w14:textId="228367A5" w:rsidR="00611C67" w:rsidRPr="00731CAB" w:rsidRDefault="00611C67" w:rsidP="006C4145">
      <w:pPr>
        <w:pStyle w:val="ListParagraph"/>
        <w:spacing w:after="120" w:line="276" w:lineRule="auto"/>
        <w:ind w:left="63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: .................%”]</w:t>
      </w:r>
    </w:p>
    <w:p w14:paraId="57D2FBC8" w14:textId="77777777" w:rsidR="00611C67" w:rsidRPr="00731CAB" w:rsidRDefault="00611C67" w:rsidP="006C4145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quảng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7827EC" w14:textId="178017CF" w:rsidR="001E13FC" w:rsidRPr="00731CAB" w:rsidRDefault="00611C67" w:rsidP="006C4145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“5.4.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cũng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phép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nội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quảng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sử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sử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mục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đích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nội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dung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quảng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sử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phàm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tuân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thủ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chặt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hướng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dẫn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chính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sách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marketing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</w:t>
      </w:r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ên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.”].</w:t>
      </w:r>
    </w:p>
    <w:p w14:paraId="2DF04DC1" w14:textId="77777777" w:rsidR="001E13FC" w:rsidRPr="00731CAB" w:rsidRDefault="001E13FC" w:rsidP="006C4145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quảng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quảng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4F9E81B6" w14:textId="77777777" w:rsidR="001E13FC" w:rsidRPr="00731CAB" w:rsidRDefault="001E13FC" w:rsidP="006C4145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lastRenderedPageBreak/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lãm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06AE5383" w14:textId="77777777" w:rsidR="001E13FC" w:rsidRPr="00731CAB" w:rsidRDefault="00611C67" w:rsidP="006C4145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lãm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327CE1BD" w14:textId="77777777" w:rsidR="001E13FC" w:rsidRPr="00731CAB" w:rsidRDefault="00611C67" w:rsidP="006C4145">
      <w:pPr>
        <w:pStyle w:val="ListParagraph"/>
        <w:spacing w:after="120" w:line="276" w:lineRule="auto"/>
        <w:ind w:left="63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“5.7. Chi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phí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phân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giữa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tỷ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lệ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:</w:t>
      </w:r>
    </w:p>
    <w:p w14:paraId="7606AF02" w14:textId="77777777" w:rsidR="001E13FC" w:rsidRPr="00731CAB" w:rsidRDefault="00611C67" w:rsidP="006C4145">
      <w:pPr>
        <w:pStyle w:val="ListParagraph"/>
        <w:spacing w:after="120" w:line="276" w:lineRule="auto"/>
        <w:ind w:left="63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: ..........%</w:t>
      </w:r>
    </w:p>
    <w:p w14:paraId="0345820D" w14:textId="6F93EDF6" w:rsidR="00611C67" w:rsidRPr="00731CAB" w:rsidRDefault="001E13FC" w:rsidP="006C4145">
      <w:pPr>
        <w:pStyle w:val="ListParagraph"/>
        <w:spacing w:after="120" w:line="276" w:lineRule="auto"/>
        <w:ind w:left="63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</w:t>
      </w:r>
      <w:r w:rsidR="00611C67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.................%"]</w:t>
      </w:r>
    </w:p>
    <w:p w14:paraId="1C9AF1E2" w14:textId="2AE137A9" w:rsidR="00611C67" w:rsidRPr="00C178AE" w:rsidRDefault="00611C67" w:rsidP="006C4145">
      <w:pPr>
        <w:pStyle w:val="ListParagraph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8AE">
        <w:rPr>
          <w:rFonts w:ascii="Times New Roman" w:hAnsi="Times New Roman" w:cs="Times New Roman"/>
          <w:b/>
          <w:bCs/>
          <w:sz w:val="24"/>
          <w:szCs w:val="24"/>
        </w:rPr>
        <w:t>Internet</w:t>
      </w:r>
    </w:p>
    <w:p w14:paraId="10EAF11F" w14:textId="34E962AF" w:rsidR="00611C67" w:rsidRPr="00731CAB" w:rsidRDefault="00611C67" w:rsidP="006C4145">
      <w:pPr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quảng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đẩy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02977EF1" w14:textId="19D34105" w:rsidR="001E13FC" w:rsidRPr="00C178AE" w:rsidRDefault="00611C67" w:rsidP="006C4145">
      <w:pPr>
        <w:pStyle w:val="ListParagraph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cạnh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tranh</w:t>
      </w:r>
      <w:proofErr w:type="spellEnd"/>
    </w:p>
    <w:p w14:paraId="5872268B" w14:textId="296C4C11" w:rsidR="001E13FC" w:rsidRPr="00731CAB" w:rsidRDefault="001E13FC" w:rsidP="006C4145">
      <w:pPr>
        <w:pStyle w:val="ListParagraph"/>
        <w:spacing w:after="120" w:line="276" w:lineRule="auto"/>
        <w:ind w:left="27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Bình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muốn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cạnh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tranh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vậy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chú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ý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bắt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buộc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thị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EC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18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12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1986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hệ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thống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huật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chế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tính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vậy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phép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tòa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giảm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</w:t>
      </w:r>
    </w:p>
    <w:p w14:paraId="268E3780" w14:textId="77777777" w:rsidR="001E13FC" w:rsidRPr="00731CAB" w:rsidRDefault="00611C67" w:rsidP="006C4145">
      <w:pPr>
        <w:pStyle w:val="ListParagraph"/>
        <w:numPr>
          <w:ilvl w:val="1"/>
          <w:numId w:val="1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226D8584" w14:textId="77777777" w:rsidR="001E13FC" w:rsidRPr="00731CAB" w:rsidRDefault="00611C67" w:rsidP="006C4145">
      <w:pPr>
        <w:pStyle w:val="ListParagraph"/>
        <w:numPr>
          <w:ilvl w:val="1"/>
          <w:numId w:val="1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kênh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giống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03BF2346" w14:textId="77777777" w:rsidR="001E13FC" w:rsidRPr="00731CAB" w:rsidRDefault="00611C67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</w:t>
      </w:r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“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7.3.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giới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thiệu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xuất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cạnh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tranh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miễn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.”]</w:t>
      </w:r>
    </w:p>
    <w:p w14:paraId="5199D078" w14:textId="77777777" w:rsidR="00F27081" w:rsidRPr="00731CAB" w:rsidRDefault="00611C67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: “7.4.</w:t>
      </w:r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tính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ràng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buộc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(hay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dù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tư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cách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là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nhà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xuất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người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hay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nhà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lẻ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sau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đó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cũng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thông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tin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về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hoạt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động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như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vậy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mình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.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đến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nghĩa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tuyên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bố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rằng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vào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thời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điểm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ký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mình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đang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/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xuất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phân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phối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trực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tiếp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gián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tiếp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phẩm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phụ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lục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3.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Việc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thực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hoạt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động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sẽ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làm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đến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việc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hoàn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thành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nghĩa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="001E13F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</w:t>
      </w:r>
      <w:r w:rsidR="00F27081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”]</w:t>
      </w:r>
    </w:p>
    <w:p w14:paraId="48991074" w14:textId="77777777" w:rsidR="00F27081" w:rsidRPr="00731CAB" w:rsidRDefault="001E13FC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"7.5.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vẫn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khoảng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hai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r w:rsidR="00F27081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</w:t>
      </w:r>
      <w:r w:rsidR="00F27081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</w:t>
      </w:r>
      <w:r w:rsidR="00F27081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]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.”</w:t>
      </w:r>
      <w:r w:rsidR="00F27081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</w:p>
    <w:p w14:paraId="25237275" w14:textId="77777777" w:rsidR="00F27081" w:rsidRPr="00C178AE" w:rsidRDefault="001E13FC" w:rsidP="006C4145">
      <w:pPr>
        <w:pStyle w:val="ListParagraph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lastRenderedPageBreak/>
        <w:t>Giới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khu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vực</w:t>
      </w:r>
      <w:proofErr w:type="spellEnd"/>
    </w:p>
    <w:p w14:paraId="3F6E7B7F" w14:textId="2DBDE079" w:rsidR="00F27081" w:rsidRPr="00731CAB" w:rsidRDefault="001E13FC" w:rsidP="006C4145">
      <w:pPr>
        <w:pStyle w:val="ListParagraph"/>
        <w:numPr>
          <w:ilvl w:val="1"/>
          <w:numId w:val="1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kiếm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đàm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xóa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bỏ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="00F27081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thổ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69757DAE" w14:textId="5581E821" w:rsidR="001E13FC" w:rsidRPr="00731CAB" w:rsidRDefault="001E13FC" w:rsidP="006C4145">
      <w:pPr>
        <w:pStyle w:val="ListParagraph"/>
        <w:numPr>
          <w:ilvl w:val="1"/>
          <w:numId w:val="1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5D272361" w14:textId="77777777" w:rsidR="00F27081" w:rsidRPr="00C178AE" w:rsidRDefault="001E13FC" w:rsidP="006C4145">
      <w:pPr>
        <w:pStyle w:val="ListParagraph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Thương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hiệu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quyền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sở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hữu</w:t>
      </w:r>
      <w:proofErr w:type="spellEnd"/>
    </w:p>
    <w:p w14:paraId="603B8739" w14:textId="77777777" w:rsidR="00F27081" w:rsidRPr="00731CAB" w:rsidRDefault="001E13FC" w:rsidP="006C4145">
      <w:pPr>
        <w:pStyle w:val="ListParagraph"/>
        <w:numPr>
          <w:ilvl w:val="1"/>
          <w:numId w:val="1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5810E485" w14:textId="77777777" w:rsidR="00F27081" w:rsidRPr="00731CAB" w:rsidRDefault="001E13FC" w:rsidP="006C4145">
      <w:pPr>
        <w:pStyle w:val="ListParagraph"/>
        <w:numPr>
          <w:ilvl w:val="1"/>
          <w:numId w:val="1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1632B9BC" w14:textId="77777777" w:rsidR="00F27081" w:rsidRPr="00731CAB" w:rsidRDefault="001E13FC" w:rsidP="006C4145">
      <w:pPr>
        <w:pStyle w:val="ListParagraph"/>
        <w:numPr>
          <w:ilvl w:val="1"/>
          <w:numId w:val="1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tờ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quảng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60A825A2" w14:textId="77777777" w:rsidR="00F27081" w:rsidRPr="00731CAB" w:rsidRDefault="001E13FC" w:rsidP="006C4145">
      <w:pPr>
        <w:pStyle w:val="ListParagraph"/>
        <w:numPr>
          <w:ilvl w:val="1"/>
          <w:numId w:val="1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ủng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525797B5" w14:textId="77777777" w:rsidR="00F27081" w:rsidRPr="00731CAB" w:rsidRDefault="001E13FC" w:rsidP="006C4145">
      <w:pPr>
        <w:pStyle w:val="ListParagraph"/>
        <w:numPr>
          <w:ilvl w:val="1"/>
          <w:numId w:val="1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xâm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tổn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3D4AFC64" w14:textId="77777777" w:rsidR="00F27081" w:rsidRPr="00731CAB" w:rsidRDefault="001E13FC" w:rsidP="006C4145">
      <w:pPr>
        <w:pStyle w:val="ListParagraph"/>
        <w:numPr>
          <w:ilvl w:val="1"/>
          <w:numId w:val="1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xâm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0D3F23CC" w14:textId="231646BB" w:rsidR="00611C67" w:rsidRPr="00731CAB" w:rsidRDefault="001E13FC" w:rsidP="006C4145">
      <w:pPr>
        <w:pStyle w:val="ListParagraph"/>
        <w:numPr>
          <w:ilvl w:val="1"/>
          <w:numId w:val="1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2320911B" w14:textId="2768734A" w:rsidR="00C87260" w:rsidRPr="00C178AE" w:rsidRDefault="00C87260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Quyền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quyền</w:t>
      </w:r>
      <w:proofErr w:type="spellEnd"/>
    </w:p>
    <w:p w14:paraId="3EE8F2DE" w14:textId="1764A358" w:rsidR="00C87260" w:rsidRPr="00731CAB" w:rsidRDefault="004E7D5C" w:rsidP="006C4145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bỏ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phần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cách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</w:p>
    <w:p w14:paraId="09BA0891" w14:textId="74EA544A" w:rsidR="00C87260" w:rsidRPr="00731CAB" w:rsidRDefault="00C87260" w:rsidP="006C4145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="004E7D5C"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</w:t>
      </w:r>
      <w:r w:rsidR="004E7D5C" w:rsidRPr="00731CAB">
        <w:rPr>
          <w:rFonts w:ascii="Times New Roman" w:hAnsi="Times New Roman" w:cs="Times New Roman"/>
          <w:sz w:val="24"/>
          <w:szCs w:val="24"/>
        </w:rPr>
        <w:t>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kênh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</w:t>
      </w:r>
      <w:r w:rsidR="004E7D5C" w:rsidRPr="00731CAB">
        <w:rPr>
          <w:rFonts w:ascii="Times New Roman" w:hAnsi="Times New Roman" w:cs="Times New Roman"/>
          <w:sz w:val="24"/>
          <w:szCs w:val="24"/>
        </w:rPr>
        <w:t>ế</w:t>
      </w:r>
      <w:r w:rsidRPr="00731CA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40E754F4" w14:textId="12688A72" w:rsidR="00C87260" w:rsidRPr="00731CAB" w:rsidRDefault="00C87260" w:rsidP="006C4145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lastRenderedPageBreak/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): “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</w:t>
      </w:r>
      <w:r w:rsidR="004E7D5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ê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giữ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</w:t>
      </w:r>
      <w:r w:rsidR="004E7D5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yền</w:t>
      </w:r>
      <w:proofErr w:type="spellEnd"/>
      <w:r w:rsidR="004E7D5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marketing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r w:rsidR="004E7D5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</w:t>
      </w:r>
      <w:r w:rsidR="004E7D5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="004E7D5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kênh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gồm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Internet.</w:t>
      </w:r>
      <w:r w:rsidR="004E7D5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”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</w:p>
    <w:p w14:paraId="05B2E9EA" w14:textId="33EC1D3D" w:rsidR="00C87260" w:rsidRPr="00731CAB" w:rsidRDefault="00C87260" w:rsidP="006C4145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độc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): “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độc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lưu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</w:t>
      </w:r>
      <w:r w:rsidR="004E7D5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="004E7D5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kênh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="004E7D5C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.”]</w:t>
      </w:r>
    </w:p>
    <w:p w14:paraId="3BC45E3F" w14:textId="71A96038" w:rsidR="00C87260" w:rsidRPr="00C178AE" w:rsidRDefault="00C87260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Tiền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hoa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hồng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diện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quyền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hưởng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hoa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hồng</w:t>
      </w:r>
      <w:proofErr w:type="spellEnd"/>
    </w:p>
    <w:p w14:paraId="21D3E6DA" w14:textId="77777777" w:rsidR="004E7D5C" w:rsidRPr="00731CAB" w:rsidRDefault="00C87260" w:rsidP="006C4145">
      <w:pPr>
        <w:pStyle w:val="ListParagraph"/>
        <w:numPr>
          <w:ilvl w:val="1"/>
          <w:numId w:val="1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D5C" w:rsidRPr="00731CA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="004E7D5C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D5C" w:rsidRPr="00731CA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="004E7D5C"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10.</w:t>
      </w:r>
    </w:p>
    <w:p w14:paraId="13112D7D" w14:textId="77777777" w:rsidR="00067B69" w:rsidRPr="00731CAB" w:rsidRDefault="00C87260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): “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67B6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</w:t>
      </w:r>
      <w:r w:rsidR="00067B6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ên</w:t>
      </w:r>
      <w:proofErr w:type="spellEnd"/>
      <w:r w:rsidR="00067B6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67B6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</w:t>
      </w:r>
      <w:r w:rsidR="00067B6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”]</w:t>
      </w:r>
    </w:p>
    <w:p w14:paraId="522E240E" w14:textId="77777777" w:rsidR="00067B69" w:rsidRPr="00731CAB" w:rsidRDefault="00C87260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(Kh</w:t>
      </w:r>
      <w:r w:rsidR="00067B6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i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độc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): </w:t>
      </w:r>
      <w:r w:rsidR="00067B6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“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11.1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Trừ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loại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bỏ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lục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4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do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.”]</w:t>
      </w:r>
    </w:p>
    <w:p w14:paraId="76F50458" w14:textId="4B43A891" w:rsidR="00067B69" w:rsidRPr="00731CAB" w:rsidRDefault="00067B69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11.2. (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hoa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hồng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đối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sau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): “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cũng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hưởng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hoa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hồng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đối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thực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trên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cơ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sở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đơn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gửi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đến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hay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nhận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sau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chấm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dứt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miễn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là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thông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báo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bằng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văn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bản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về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những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đàm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đang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thực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sau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chấm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dứt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”]</w:t>
      </w:r>
    </w:p>
    <w:p w14:paraId="2434F7F2" w14:textId="77777777" w:rsidR="00067B69" w:rsidRPr="00731CAB" w:rsidRDefault="00C87260" w:rsidP="006C4145">
      <w:pPr>
        <w:pStyle w:val="ListParagraph"/>
        <w:numPr>
          <w:ilvl w:val="1"/>
          <w:numId w:val="1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1E30EDE0" w14:textId="5D4AB381" w:rsidR="00067B69" w:rsidRPr="00731CAB" w:rsidRDefault="00067B69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“11.3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thanh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toán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hoa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hồng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ngay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sau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khách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thanh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toán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đầy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đủ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sản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phẩm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(hay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đã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phát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hóa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đơn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.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trường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khách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mới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thanh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toán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phần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phù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mua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thanh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toán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hoa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hồng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tỷ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lệ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tương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ứng</w:t>
      </w:r>
      <w:proofErr w:type="spellEnd"/>
      <w:r w:rsidR="00C87260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.].</w:t>
      </w:r>
    </w:p>
    <w:p w14:paraId="45E92CAF" w14:textId="10A17C79" w:rsidR="00C87260" w:rsidRPr="00731CAB" w:rsidRDefault="00C87260" w:rsidP="006C4145">
      <w:pPr>
        <w:pStyle w:val="ListParagraph"/>
        <w:numPr>
          <w:ilvl w:val="1"/>
          <w:numId w:val="1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tầm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204BE2BA" w14:textId="35DC8004" w:rsidR="00C87260" w:rsidRPr="00C178AE" w:rsidRDefault="00C87260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Phương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hoa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hồng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thanh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tiền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hoa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hồng</w:t>
      </w:r>
      <w:proofErr w:type="spellEnd"/>
    </w:p>
    <w:p w14:paraId="19252DA6" w14:textId="77777777" w:rsidR="000336A5" w:rsidRPr="00731CAB" w:rsidRDefault="00C87260" w:rsidP="006C4145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067B69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067B69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tách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0336A5"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57187F7" w14:textId="77777777" w:rsidR="000336A5" w:rsidRPr="00731CAB" w:rsidRDefault="000336A5" w:rsidP="006C4145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lastRenderedPageBreak/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0BF208B1" w14:textId="77777777" w:rsidR="000336A5" w:rsidRPr="00731CAB" w:rsidRDefault="000336A5" w:rsidP="006C4145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639D3BE0" w14:textId="77777777" w:rsidR="00150D3A" w:rsidRPr="00731CAB" w:rsidRDefault="000336A5" w:rsidP="006C4145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bao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khấu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D3A"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50365079" w14:textId="77777777" w:rsidR="00150D3A" w:rsidRPr="00731CAB" w:rsidRDefault="000336A5" w:rsidP="006C4145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</w:t>
      </w:r>
      <w:r w:rsidR="00150D3A" w:rsidRPr="00731CAB">
        <w:rPr>
          <w:rFonts w:ascii="Times New Roman" w:hAnsi="Times New Roman" w:cs="Times New Roman"/>
          <w:sz w:val="24"/>
          <w:szCs w:val="24"/>
        </w:rPr>
        <w:t>ề</w:t>
      </w:r>
      <w:r w:rsidRPr="00731CA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muộn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="00150D3A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="00150D3A"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150D3A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40BEC160" w14:textId="77FCE1A4" w:rsidR="00150D3A" w:rsidRPr="00731CAB" w:rsidRDefault="000336A5" w:rsidP="006C4145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</w:t>
      </w:r>
      <w:r w:rsidR="00150D3A" w:rsidRPr="00731CAB">
        <w:rPr>
          <w:rFonts w:ascii="Times New Roman" w:hAnsi="Times New Roman" w:cs="Times New Roman"/>
          <w:sz w:val="24"/>
          <w:szCs w:val="24"/>
        </w:rPr>
        <w:t>ế</w:t>
      </w:r>
      <w:r w:rsidRPr="00731CA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0D3A"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150D3A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D3A"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r w:rsidR="00150D3A" w:rsidRPr="00731CAB">
        <w:rPr>
          <w:rFonts w:ascii="Times New Roman" w:hAnsi="Times New Roman" w:cs="Times New Roman"/>
          <w:sz w:val="24"/>
          <w:szCs w:val="24"/>
        </w:rPr>
        <w:t>ề</w:t>
      </w:r>
      <w:r w:rsidRPr="00731CA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="00150D3A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3B695A39" w14:textId="48E84D65" w:rsidR="00150D3A" w:rsidRPr="00731CAB" w:rsidRDefault="00150D3A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Bình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chú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ý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rằng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hệ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thống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tỷ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lệ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tối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suất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chậm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</w:t>
      </w:r>
    </w:p>
    <w:p w14:paraId="0BA22CF0" w14:textId="77777777" w:rsidR="00150D3A" w:rsidRPr="00731CAB" w:rsidRDefault="00150D3A" w:rsidP="006C4145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liệt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679D952" w14:textId="10DD0F57" w:rsidR="00150D3A" w:rsidRPr="00731CAB" w:rsidRDefault="00150D3A" w:rsidP="006C4145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sổ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5D4492B8" w14:textId="7A3C0A3C" w:rsidR="000336A5" w:rsidRPr="00C178AE" w:rsidRDefault="000336A5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Trách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Tùy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chọn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BD7C9B" w14:textId="74FC8756" w:rsidR="000336A5" w:rsidRPr="00731CAB" w:rsidRDefault="00150D3A" w:rsidP="006C4145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Bình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muốn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đưa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khoản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Đảm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bảo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khả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năng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thanh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toán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vào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cần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chú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ý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đến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pháp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luật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áp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ở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quốc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mà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thành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lập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vì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quốc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bắt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buộc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về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nghĩa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Đảm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bảo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Thanh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</w:t>
      </w:r>
    </w:p>
    <w:p w14:paraId="18DE048A" w14:textId="77777777" w:rsidR="00161EDC" w:rsidRPr="00731CAB" w:rsidRDefault="000336A5" w:rsidP="006C4145">
      <w:pPr>
        <w:pStyle w:val="ListParagraph"/>
        <w:numPr>
          <w:ilvl w:val="1"/>
          <w:numId w:val="2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</w:t>
      </w:r>
      <w:r w:rsidR="00150D3A" w:rsidRPr="00731CAB">
        <w:rPr>
          <w:rFonts w:ascii="Times New Roman" w:hAnsi="Times New Roman" w:cs="Times New Roman"/>
          <w:sz w:val="24"/>
          <w:szCs w:val="24"/>
        </w:rPr>
        <w:t>iện</w:t>
      </w:r>
      <w:proofErr w:type="spellEnd"/>
      <w:r w:rsidR="00150D3A" w:rsidRPr="00731CAB">
        <w:rPr>
          <w:rFonts w:ascii="Times New Roman" w:hAnsi="Times New Roman" w:cs="Times New Roman"/>
          <w:sz w:val="24"/>
          <w:szCs w:val="24"/>
        </w:rPr>
        <w:t>.</w:t>
      </w:r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đáp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chắc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chắn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6ED4809" w14:textId="77777777" w:rsidR="00161EDC" w:rsidRPr="00731CAB" w:rsidRDefault="00161EDC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[13.1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đóng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vai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trò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như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Đảm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bảo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Thanh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toán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kiện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phụ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lục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5.</w:t>
      </w:r>
    </w:p>
    <w:p w14:paraId="4AC56D79" w14:textId="77777777" w:rsidR="00161EDC" w:rsidRPr="00731CAB" w:rsidRDefault="00161EDC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vấ</w:t>
      </w:r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đề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cam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kết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tại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đâ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y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r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ằ</w:t>
      </w:r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sẽ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bồi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hoàn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toàn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bộ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(hay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phần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chưa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trả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mà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nhận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từ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khách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hàng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đã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thanh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toán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vì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những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lý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do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mà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chịu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trách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nhiệm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</w:t>
      </w:r>
    </w:p>
    <w:p w14:paraId="28A43FFD" w14:textId="08CAFDA8" w:rsidR="00C87260" w:rsidRPr="00731CAB" w:rsidRDefault="00161EDC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Đảm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bảo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Khả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năng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Thanh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toán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gồm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chi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phí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phát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sinh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để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lấy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lại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đó</w:t>
      </w:r>
      <w:proofErr w:type="spellEnd"/>
      <w:r w:rsidR="000336A5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</w:t>
      </w:r>
    </w:p>
    <w:p w14:paraId="6200E8A4" w14:textId="77777777" w:rsidR="00536994" w:rsidRPr="00C178AE" w:rsidRDefault="00536994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chấm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dứt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hậu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quả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chấm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dứt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7D02D98F" w14:textId="77777777" w:rsidR="00536994" w:rsidRPr="00731CAB" w:rsidRDefault="00536994" w:rsidP="006C4145">
      <w:pPr>
        <w:pStyle w:val="ListParagraph"/>
        <w:numPr>
          <w:ilvl w:val="1"/>
          <w:numId w:val="2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lastRenderedPageBreak/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30A401C7" w14:textId="77777777" w:rsidR="00536994" w:rsidRPr="00731CAB" w:rsidRDefault="00536994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)” “14.1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hai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chữ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cuối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cùng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nhau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hết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].”]</w:t>
      </w:r>
    </w:p>
    <w:p w14:paraId="3437750B" w14:textId="248B8339" w:rsidR="00536994" w:rsidRPr="00731CAB" w:rsidRDefault="00536994" w:rsidP="006C4145">
      <w:pPr>
        <w:pStyle w:val="ListParagraph"/>
        <w:numPr>
          <w:ilvl w:val="1"/>
          <w:numId w:val="2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0202C558" w14:textId="77777777" w:rsidR="00A13A28" w:rsidRPr="00731CAB" w:rsidRDefault="00536994" w:rsidP="006C4145">
      <w:pPr>
        <w:pStyle w:val="ListParagraph"/>
        <w:numPr>
          <w:ilvl w:val="1"/>
          <w:numId w:val="2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A28" w:rsidRPr="00731CAB">
        <w:rPr>
          <w:rFonts w:ascii="Times New Roman" w:hAnsi="Times New Roman" w:cs="Times New Roman"/>
          <w:sz w:val="24"/>
          <w:szCs w:val="24"/>
        </w:rPr>
        <w:t>đồ</w:t>
      </w:r>
      <w:r w:rsidRPr="00731CAB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A28"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>:</w:t>
      </w:r>
    </w:p>
    <w:p w14:paraId="0A043F7E" w14:textId="77777777" w:rsidR="00A13A28" w:rsidRPr="00731CAB" w:rsidRDefault="00536994" w:rsidP="006C4145">
      <w:pPr>
        <w:pStyle w:val="ListParagraph"/>
        <w:numPr>
          <w:ilvl w:val="2"/>
          <w:numId w:val="2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vi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cẩn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1CAB">
        <w:rPr>
          <w:rFonts w:ascii="Times New Roman" w:hAnsi="Times New Roman" w:cs="Times New Roman"/>
          <w:sz w:val="24"/>
          <w:szCs w:val="24"/>
        </w:rPr>
        <w:t>trọn</w:t>
      </w:r>
      <w:r w:rsidR="00A13A28" w:rsidRPr="00731CAB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4785478" w14:textId="77777777" w:rsidR="00A13A28" w:rsidRPr="00731CAB" w:rsidRDefault="00536994" w:rsidP="006C4145">
      <w:pPr>
        <w:pStyle w:val="ListParagraph"/>
        <w:numPr>
          <w:ilvl w:val="2"/>
          <w:numId w:val="2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tầm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3195C70" w14:textId="77777777" w:rsidR="00A13A28" w:rsidRPr="00731CAB" w:rsidRDefault="00536994" w:rsidP="006C4145">
      <w:pPr>
        <w:pStyle w:val="ListParagraph"/>
        <w:numPr>
          <w:ilvl w:val="2"/>
          <w:numId w:val="2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244AFED9" w14:textId="77777777" w:rsidR="00A13A28" w:rsidRPr="00731CAB" w:rsidRDefault="00536994" w:rsidP="006C4145">
      <w:pPr>
        <w:pStyle w:val="ListParagraph"/>
        <w:numPr>
          <w:ilvl w:val="1"/>
          <w:numId w:val="2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:</w:t>
      </w:r>
    </w:p>
    <w:p w14:paraId="707D5E43" w14:textId="77777777" w:rsidR="00A13A28" w:rsidRPr="00731CAB" w:rsidRDefault="00536994" w:rsidP="006C4145">
      <w:pPr>
        <w:pStyle w:val="ListParagraph"/>
        <w:numPr>
          <w:ilvl w:val="2"/>
          <w:numId w:val="2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,</w:t>
      </w:r>
      <w:r w:rsidR="00A13A28"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sz w:val="24"/>
          <w:szCs w:val="24"/>
        </w:rPr>
        <w:t xml:space="preserve">bao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</w:t>
      </w:r>
      <w:r w:rsidR="00A13A28" w:rsidRPr="00731CAB">
        <w:rPr>
          <w:rFonts w:ascii="Times New Roman" w:hAnsi="Times New Roman" w:cs="Times New Roman"/>
          <w:sz w:val="24"/>
          <w:szCs w:val="24"/>
        </w:rPr>
        <w:t>ấm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</w:p>
    <w:p w14:paraId="5D287EAA" w14:textId="77777777" w:rsidR="00A13A28" w:rsidRPr="00731CAB" w:rsidRDefault="00536994" w:rsidP="006C4145">
      <w:pPr>
        <w:pStyle w:val="ListParagraph"/>
        <w:numPr>
          <w:ilvl w:val="2"/>
          <w:numId w:val="22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939EB85" w14:textId="77777777" w:rsidR="00A13A28" w:rsidRPr="00731CAB" w:rsidRDefault="00536994" w:rsidP="006C4145">
      <w:pPr>
        <w:pStyle w:val="ListParagraph"/>
        <w:numPr>
          <w:ilvl w:val="1"/>
          <w:numId w:val="2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3A28"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A28" w:rsidRPr="00731CA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A28"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A28"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>.</w:t>
      </w:r>
    </w:p>
    <w:p w14:paraId="51F03638" w14:textId="2CE56965" w:rsidR="00536994" w:rsidRPr="00731CAB" w:rsidRDefault="00536994" w:rsidP="006C4145">
      <w:pPr>
        <w:pStyle w:val="ListParagraph"/>
        <w:numPr>
          <w:ilvl w:val="1"/>
          <w:numId w:val="2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A28"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quảng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075CD717" w14:textId="08C65793" w:rsidR="00536994" w:rsidRPr="00C178AE" w:rsidRDefault="00536994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Bồi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thường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khi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chấm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dứt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360C569F" w14:textId="77777777" w:rsidR="00A13A28" w:rsidRPr="00731CAB" w:rsidRDefault="00A13A28" w:rsidP="006C4145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Bình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luận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hệ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thống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pháp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luật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pháp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lý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bắt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buộc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về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chính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sách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công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ràng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buộc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.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Ví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như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trường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minh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Châu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Âu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đó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Chỉ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thị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EC 86/653/EEC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ngày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18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tháng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12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năm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1986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phép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đòi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bồi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thường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do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chấm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dứt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kiện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nhất</w:t>
      </w:r>
      <w:proofErr w:type="spellEnd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536994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</w:t>
      </w:r>
    </w:p>
    <w:p w14:paraId="302269C0" w14:textId="77777777" w:rsidR="00A13A28" w:rsidRPr="00731CAB" w:rsidRDefault="00536994" w:rsidP="006C4145">
      <w:pPr>
        <w:pStyle w:val="ListParagraph"/>
        <w:numPr>
          <w:ilvl w:val="1"/>
          <w:numId w:val="2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="00A13A28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="00A13A28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="00A13A28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</w:t>
      </w:r>
      <w:r w:rsidR="00A13A28" w:rsidRPr="00731CAB">
        <w:rPr>
          <w:rFonts w:ascii="Times New Roman" w:hAnsi="Times New Roman" w:cs="Times New Roman"/>
          <w:sz w:val="24"/>
          <w:szCs w:val="24"/>
        </w:rPr>
        <w:t>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D276DAA" w14:textId="77777777" w:rsidR="001F2886" w:rsidRPr="00731CAB" w:rsidRDefault="00536994" w:rsidP="006C4145">
      <w:pPr>
        <w:pStyle w:val="ListParagraph"/>
        <w:numPr>
          <w:ilvl w:val="2"/>
          <w:numId w:val="23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A13A28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lastRenderedPageBreak/>
        <w:t>vòng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quyên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86"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1F2886"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440F61E" w14:textId="77777777" w:rsidR="001F2886" w:rsidRPr="00731CAB" w:rsidRDefault="001F2886" w:rsidP="006C4145">
      <w:pPr>
        <w:pStyle w:val="ListParagraph"/>
        <w:numPr>
          <w:ilvl w:val="2"/>
          <w:numId w:val="23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6554E14B" w14:textId="77777777" w:rsidR="001F2886" w:rsidRPr="00731CAB" w:rsidRDefault="001F2886" w:rsidP="006C4145">
      <w:pPr>
        <w:pStyle w:val="ListParagraph"/>
        <w:numPr>
          <w:ilvl w:val="2"/>
          <w:numId w:val="23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:</w:t>
      </w:r>
    </w:p>
    <w:p w14:paraId="24675C6B" w14:textId="77777777" w:rsidR="001F2886" w:rsidRPr="00731CAB" w:rsidRDefault="001F2886" w:rsidP="006C4145">
      <w:pPr>
        <w:pStyle w:val="ListParagraph"/>
        <w:numPr>
          <w:ilvl w:val="0"/>
          <w:numId w:val="6"/>
        </w:numPr>
        <w:spacing w:after="120" w:line="276" w:lineRule="auto"/>
        <w:ind w:left="18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Khi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14.3 ở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65BCE3C4" w14:textId="77777777" w:rsidR="001F2886" w:rsidRPr="00731CAB" w:rsidRDefault="001F2886" w:rsidP="006C4145">
      <w:pPr>
        <w:pStyle w:val="ListParagraph"/>
        <w:numPr>
          <w:ilvl w:val="0"/>
          <w:numId w:val="6"/>
        </w:numPr>
        <w:spacing w:after="120" w:line="276" w:lineRule="auto"/>
        <w:ind w:left="18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Khi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hay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4079BB0D" w14:textId="77777777" w:rsidR="001F2886" w:rsidRPr="00731CAB" w:rsidRDefault="001F2886" w:rsidP="006C4145">
      <w:pPr>
        <w:pStyle w:val="ListParagraph"/>
        <w:numPr>
          <w:ilvl w:val="0"/>
          <w:numId w:val="6"/>
        </w:numPr>
        <w:spacing w:after="120" w:line="276" w:lineRule="auto"/>
        <w:ind w:left="18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Khi,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2088EAE5" w14:textId="3693896C" w:rsidR="001F2886" w:rsidRPr="00731CAB" w:rsidRDefault="001F2886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“15.1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đòi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bồi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thường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thị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EC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18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12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1986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bắt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buộc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nước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thị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EC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nước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tự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):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bồi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thường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thúc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.”]</w:t>
      </w:r>
    </w:p>
    <w:p w14:paraId="3C32A81D" w14:textId="067A9A5F" w:rsidR="001F2886" w:rsidRPr="00731CAB" w:rsidRDefault="001F2886" w:rsidP="006C4145">
      <w:pPr>
        <w:pStyle w:val="ListParagraph"/>
        <w:numPr>
          <w:ilvl w:val="1"/>
          <w:numId w:val="2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287A62CC" w14:textId="1ECCFA46" w:rsidR="00DF0F59" w:rsidRPr="006C4145" w:rsidRDefault="001F2886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4145">
        <w:rPr>
          <w:rFonts w:ascii="Times New Roman" w:hAnsi="Times New Roman" w:cs="Times New Roman"/>
          <w:b/>
          <w:bCs/>
          <w:sz w:val="24"/>
          <w:szCs w:val="24"/>
        </w:rPr>
        <w:t>Bất</w:t>
      </w:r>
      <w:proofErr w:type="spellEnd"/>
      <w:r w:rsidRPr="006C4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b/>
          <w:bCs/>
          <w:sz w:val="24"/>
          <w:szCs w:val="24"/>
        </w:rPr>
        <w:t>khả</w:t>
      </w:r>
      <w:proofErr w:type="spellEnd"/>
      <w:r w:rsidRPr="006C4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b/>
          <w:bCs/>
          <w:sz w:val="24"/>
          <w:szCs w:val="24"/>
        </w:rPr>
        <w:t>kháng</w:t>
      </w:r>
      <w:proofErr w:type="spellEnd"/>
      <w:r w:rsidRPr="006C4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0F59" w:rsidRPr="006C414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6C4145">
        <w:rPr>
          <w:rFonts w:ascii="Times New Roman" w:hAnsi="Times New Roman" w:cs="Times New Roman"/>
          <w:b/>
          <w:bCs/>
          <w:sz w:val="24"/>
          <w:szCs w:val="24"/>
        </w:rPr>
        <w:t>miễn</w:t>
      </w:r>
      <w:proofErr w:type="spellEnd"/>
      <w:r w:rsidRPr="006C4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b/>
          <w:bCs/>
          <w:sz w:val="24"/>
          <w:szCs w:val="24"/>
        </w:rPr>
        <w:t>trách</w:t>
      </w:r>
      <w:proofErr w:type="spellEnd"/>
      <w:r w:rsidRPr="006C4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6C4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b/>
          <w:bCs/>
          <w:sz w:val="24"/>
          <w:szCs w:val="24"/>
        </w:rPr>
        <w:t>hành</w:t>
      </w:r>
      <w:proofErr w:type="spellEnd"/>
      <w:r w:rsidRPr="006C4145">
        <w:rPr>
          <w:rFonts w:ascii="Times New Roman" w:hAnsi="Times New Roman" w:cs="Times New Roman"/>
          <w:b/>
          <w:bCs/>
          <w:sz w:val="24"/>
          <w:szCs w:val="24"/>
        </w:rPr>
        <w:t xml:space="preserve"> vi </w:t>
      </w:r>
      <w:proofErr w:type="spellStart"/>
      <w:r w:rsidRPr="006C4145">
        <w:rPr>
          <w:rFonts w:ascii="Times New Roman" w:hAnsi="Times New Roman" w:cs="Times New Roman"/>
          <w:b/>
          <w:bCs/>
          <w:sz w:val="24"/>
          <w:szCs w:val="24"/>
        </w:rPr>
        <w:t>vi</w:t>
      </w:r>
      <w:proofErr w:type="spellEnd"/>
      <w:r w:rsidRPr="006C4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b/>
          <w:bCs/>
          <w:sz w:val="24"/>
          <w:szCs w:val="24"/>
        </w:rPr>
        <w:t>phạm</w:t>
      </w:r>
      <w:proofErr w:type="spellEnd"/>
      <w:r w:rsidRPr="006C4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3E3DD73C" w14:textId="77777777" w:rsidR="00DF0F59" w:rsidRPr="00731CAB" w:rsidRDefault="00DF0F59" w:rsidP="006C4145">
      <w:pPr>
        <w:pStyle w:val="ListParagraph"/>
        <w:numPr>
          <w:ilvl w:val="1"/>
          <w:numId w:val="2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khẩn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tai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hỏa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bão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tầm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tránh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0FA00C50" w14:textId="05DE53F2" w:rsidR="00DF0F59" w:rsidRPr="00731CAB" w:rsidRDefault="00DF0F59" w:rsidP="006C4145">
      <w:pPr>
        <w:pStyle w:val="ListParagraph"/>
        <w:numPr>
          <w:ilvl w:val="1"/>
          <w:numId w:val="2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trễ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[16.3]</w:t>
      </w:r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[16.4]</w:t>
      </w:r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389C364F" w14:textId="77777777" w:rsidR="00DF0F59" w:rsidRPr="00731CAB" w:rsidRDefault="00DF0F59" w:rsidP="006C4145">
      <w:pPr>
        <w:pStyle w:val="ListParagraph"/>
        <w:numPr>
          <w:ilvl w:val="1"/>
          <w:numId w:val="2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5F812A72" w14:textId="1B2B98DC" w:rsidR="00DF0F59" w:rsidRPr="00731CAB" w:rsidRDefault="00DF0F59" w:rsidP="006C4145">
      <w:pPr>
        <w:pStyle w:val="ListParagraph"/>
        <w:numPr>
          <w:ilvl w:val="1"/>
          <w:numId w:val="2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03140B30" w14:textId="431F08CE" w:rsidR="00DF0F59" w:rsidRPr="00731CAB" w:rsidRDefault="00DF0F59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lastRenderedPageBreak/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“16.4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hai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trì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trở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kháng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tục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vượt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quá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muốn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]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lượng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chí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nỗ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hết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sức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thống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sửa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xếp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mục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nhằm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giảm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bớt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kháng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thỏa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sửa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xếp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vậy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vòng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30 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muốn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]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>kháng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.”.]</w:t>
      </w:r>
    </w:p>
    <w:p w14:paraId="32FDF3E0" w14:textId="1A6D970B" w:rsidR="00DF0F59" w:rsidRPr="00C178AE" w:rsidRDefault="00DF0F59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Thay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đổi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gánh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nặng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nghĩa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819E22" w14:textId="0D474B62" w:rsidR="00DF0F59" w:rsidRPr="00731CAB" w:rsidRDefault="00DF0F59" w:rsidP="006C4145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Bình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tự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vấn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nhau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hoàn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cảnh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–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biệt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tạo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gánh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nặng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doanh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nghiệp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nhỏ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vừa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(SME)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cuối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17.4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tòa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trọng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sửa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chấm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dứt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SME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thấy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rằng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sử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ích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ở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vị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thế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chiến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lạ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(ii)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tòa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trọng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đang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tồn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xảy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gánh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nặng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</w:t>
      </w:r>
    </w:p>
    <w:p w14:paraId="31134717" w14:textId="77777777" w:rsidR="00DF0F59" w:rsidRPr="00731CAB" w:rsidRDefault="00DF0F59" w:rsidP="006C4145">
      <w:pPr>
        <w:pStyle w:val="ListParagraph"/>
        <w:numPr>
          <w:ilvl w:val="1"/>
          <w:numId w:val="2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gánh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).</w:t>
      </w:r>
    </w:p>
    <w:p w14:paraId="22F0B62E" w14:textId="77777777" w:rsidR="00DF0F59" w:rsidRPr="00731CAB" w:rsidRDefault="00DF0F59" w:rsidP="006C4145">
      <w:pPr>
        <w:pStyle w:val="ListParagraph"/>
        <w:numPr>
          <w:ilvl w:val="1"/>
          <w:numId w:val="2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đòn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gánh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:</w:t>
      </w:r>
    </w:p>
    <w:p w14:paraId="28899FBE" w14:textId="77777777" w:rsidR="00DF0F59" w:rsidRPr="00731CAB" w:rsidRDefault="00DF0F59" w:rsidP="006C4145">
      <w:pPr>
        <w:pStyle w:val="ListParagraph"/>
        <w:numPr>
          <w:ilvl w:val="2"/>
          <w:numId w:val="26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4BA02236" w14:textId="77777777" w:rsidR="00DF0F59" w:rsidRPr="00731CAB" w:rsidRDefault="00DF0F59" w:rsidP="006C4145">
      <w:pPr>
        <w:pStyle w:val="ListParagraph"/>
        <w:numPr>
          <w:ilvl w:val="2"/>
          <w:numId w:val="26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</w:p>
    <w:p w14:paraId="79E5168C" w14:textId="77777777" w:rsidR="00DF0F59" w:rsidRPr="00731CAB" w:rsidRDefault="00DF0F59" w:rsidP="006C4145">
      <w:pPr>
        <w:pStyle w:val="ListParagraph"/>
        <w:numPr>
          <w:ilvl w:val="2"/>
          <w:numId w:val="26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rủi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rủi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19BC2B0" w14:textId="77777777" w:rsidR="00DF0F59" w:rsidRPr="00731CAB" w:rsidRDefault="00DF0F59" w:rsidP="006C4145">
      <w:pPr>
        <w:pStyle w:val="ListParagraph"/>
        <w:numPr>
          <w:ilvl w:val="1"/>
          <w:numId w:val="2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08A20850" w14:textId="32D9841F" w:rsidR="00DF0F59" w:rsidRPr="00731CAB" w:rsidRDefault="00DF0F59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Bổ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sung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đoạn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đây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muốn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bỏ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–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xem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bình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phía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đầu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17:</w:t>
      </w:r>
    </w:p>
    <w:p w14:paraId="01A50E98" w14:textId="33290451" w:rsidR="00DF0F59" w:rsidRPr="00731CAB" w:rsidRDefault="00DF0F59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“17.4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thỏa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sửa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yêu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cầu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vòng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rõ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thích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],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sử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thủ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tục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quyết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tranh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chấp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25. 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Tòa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trọng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tài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]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sửa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họ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thấy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hoàn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cảnh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hủy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.”.]</w:t>
      </w:r>
    </w:p>
    <w:p w14:paraId="7293E3D8" w14:textId="6505825D" w:rsidR="00DF0F59" w:rsidRPr="00C178AE" w:rsidRDefault="00DF0F59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lastRenderedPageBreak/>
        <w:t>Không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danh</w:t>
      </w:r>
      <w:proofErr w:type="spellEnd"/>
    </w:p>
    <w:p w14:paraId="1F670C3E" w14:textId="15777F95" w:rsidR="00DF0F59" w:rsidRPr="00731CAB" w:rsidRDefault="00DF0F59" w:rsidP="006C4145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586005F" w14:textId="31C2D51C" w:rsidR="00DF0F59" w:rsidRPr="00C178AE" w:rsidRDefault="00DF0F59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Ủy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thác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chỉ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diện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thứ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cấp</w:t>
      </w:r>
      <w:proofErr w:type="spellEnd"/>
    </w:p>
    <w:p w14:paraId="1A766CA4" w14:textId="68158859" w:rsidR="00A355C2" w:rsidRPr="00731CAB" w:rsidRDefault="00A355C2" w:rsidP="006C4145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Bình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quốc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bắt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buộc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thứ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Vì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vậy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kiểm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pháp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quyết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lựa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</w:t>
      </w:r>
    </w:p>
    <w:p w14:paraId="1212E49B" w14:textId="07DF84A7" w:rsidR="00A355C2" w:rsidRPr="00731CAB" w:rsidRDefault="00DF0F59" w:rsidP="006C4145">
      <w:pPr>
        <w:pStyle w:val="ListParagraph"/>
        <w:numPr>
          <w:ilvl w:val="0"/>
          <w:numId w:val="3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bổ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sung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chỉ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trường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trừ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khi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là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cần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thiết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để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thu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hóa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đơn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chưa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thanh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toán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thông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qua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:</w:t>
      </w:r>
    </w:p>
    <w:p w14:paraId="00A816C7" w14:textId="37AEC8CD" w:rsidR="00A355C2" w:rsidRPr="00731CAB" w:rsidRDefault="00DF0F59" w:rsidP="006C4145">
      <w:pPr>
        <w:pStyle w:val="ListParagraph"/>
        <w:numPr>
          <w:ilvl w:val="2"/>
          <w:numId w:val="35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; hay</w:t>
      </w:r>
    </w:p>
    <w:p w14:paraId="2DECF374" w14:textId="19B2F249" w:rsidR="00DF0F59" w:rsidRPr="00731CAB" w:rsidRDefault="00DF0F59" w:rsidP="006C4145">
      <w:pPr>
        <w:pStyle w:val="ListParagraph"/>
        <w:numPr>
          <w:ilvl w:val="2"/>
          <w:numId w:val="35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49EAD413" w14:textId="77777777" w:rsidR="00731CAB" w:rsidRDefault="00A355C2" w:rsidP="006C4145">
      <w:pPr>
        <w:pStyle w:val="ListParagraph"/>
        <w:spacing w:after="120" w:line="276" w:lineRule="auto"/>
        <w:ind w:left="1440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19.1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thứ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ủy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toàn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bộ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phần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thứ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chịu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trách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nhiệm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thứ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người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ủy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</w:t>
      </w:r>
    </w:p>
    <w:p w14:paraId="4C7E51AD" w14:textId="2D4A9443" w:rsidR="00A355C2" w:rsidRPr="00731CAB" w:rsidRDefault="00A355C2" w:rsidP="006C4145">
      <w:pPr>
        <w:pStyle w:val="ListParagraph"/>
        <w:numPr>
          <w:ilvl w:val="0"/>
          <w:numId w:val="3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kia.</w:t>
      </w:r>
    </w:p>
    <w:p w14:paraId="073ED4C9" w14:textId="77777777" w:rsidR="00A355C2" w:rsidRPr="00C178AE" w:rsidRDefault="00DF0F59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báo</w:t>
      </w:r>
      <w:proofErr w:type="spellEnd"/>
    </w:p>
    <w:p w14:paraId="3DA9859F" w14:textId="6C8A9368" w:rsidR="00DF0F59" w:rsidRPr="00731CAB" w:rsidRDefault="00DF0F59" w:rsidP="006C4145">
      <w:pPr>
        <w:pStyle w:val="ListParagraph"/>
        <w:numPr>
          <w:ilvl w:val="1"/>
          <w:numId w:val="2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email)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="00A355C2" w:rsidRPr="00731CAB">
        <w:rPr>
          <w:rFonts w:ascii="Times New Roman" w:hAnsi="Times New Roman" w:cs="Times New Roman"/>
          <w:sz w:val="24"/>
          <w:szCs w:val="24"/>
        </w:rPr>
        <w:t>20</w:t>
      </w:r>
      <w:r w:rsidRPr="00731CAB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2B780A4B" w14:textId="21B5863E" w:rsidR="00DF0F59" w:rsidRPr="00731CAB" w:rsidRDefault="00DF0F59" w:rsidP="006C4145">
      <w:pPr>
        <w:pStyle w:val="ListParagraph"/>
        <w:numPr>
          <w:ilvl w:val="1"/>
          <w:numId w:val="2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="00A355C2" w:rsidRPr="00731CAB">
        <w:rPr>
          <w:rFonts w:ascii="Times New Roman" w:hAnsi="Times New Roman" w:cs="Times New Roman"/>
          <w:sz w:val="24"/>
          <w:szCs w:val="24"/>
        </w:rPr>
        <w:t>20.</w:t>
      </w:r>
      <w:r w:rsidRPr="00731CAB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:</w:t>
      </w:r>
    </w:p>
    <w:p w14:paraId="372F9771" w14:textId="77777777" w:rsidR="00DF0F59" w:rsidRPr="00731CAB" w:rsidRDefault="00DF0F59" w:rsidP="006C4145">
      <w:pPr>
        <w:pStyle w:val="ListParagraph"/>
        <w:spacing w:after="12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……………………………………………………………………………………;</w:t>
      </w:r>
    </w:p>
    <w:p w14:paraId="37D1ACBB" w14:textId="504CCC5B" w:rsidR="00DF0F59" w:rsidRPr="00731CAB" w:rsidRDefault="00DF0F59" w:rsidP="006C4145">
      <w:pPr>
        <w:pStyle w:val="ListParagraph"/>
        <w:spacing w:after="12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…………………………………………………………………………………..</w:t>
      </w:r>
    </w:p>
    <w:p w14:paraId="588339C6" w14:textId="77777777" w:rsidR="00A355C2" w:rsidRPr="00C178AE" w:rsidRDefault="00DF0F59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toàn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vẹn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C17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8AE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508CCA5B" w14:textId="77777777" w:rsidR="00A355C2" w:rsidRPr="00731CAB" w:rsidRDefault="00DF0F59" w:rsidP="006C4145">
      <w:pPr>
        <w:pStyle w:val="ListParagraph"/>
        <w:numPr>
          <w:ilvl w:val="1"/>
          <w:numId w:val="2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cam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nhầm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lẫn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Tùy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bổ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sung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thêm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đoạn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thấy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: </w:t>
      </w:r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“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thay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thế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thỏa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ghi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nhớ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tượng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”.]</w:t>
      </w:r>
    </w:p>
    <w:p w14:paraId="7F6886FA" w14:textId="6B0111A9" w:rsidR="00DF0F59" w:rsidRPr="00731CAB" w:rsidRDefault="00DF0F59" w:rsidP="006C4145">
      <w:pPr>
        <w:pStyle w:val="ListParagraph"/>
        <w:numPr>
          <w:ilvl w:val="1"/>
          <w:numId w:val="2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lastRenderedPageBreak/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email). </w:t>
      </w:r>
      <w:r w:rsidR="00A355C2"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1</w:t>
      </w:r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7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.4</w:t>
      </w:r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="00A355C2"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A355C2" w:rsidRPr="00731C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1</w:t>
      </w:r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7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.4</w:t>
      </w:r>
      <w:r w:rsidR="00A355C2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="00A355C2" w:rsidRPr="00731CAB">
        <w:rPr>
          <w:rFonts w:ascii="Times New Roman" w:hAnsi="Times New Roman" w:cs="Times New Roman"/>
          <w:sz w:val="24"/>
          <w:szCs w:val="24"/>
        </w:rPr>
        <w:t>)</w:t>
      </w:r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680F3475" w14:textId="1986B714" w:rsidR="00DF0F59" w:rsidRPr="00731CAB" w:rsidRDefault="00DF0F59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vô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</w:p>
    <w:p w14:paraId="2A5C4E49" w14:textId="51DE0127" w:rsidR="00DF0F59" w:rsidRPr="00731CAB" w:rsidRDefault="00DF0F59" w:rsidP="006C4145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tòa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7702DED" w14:textId="77777777" w:rsidR="00A355C2" w:rsidRPr="00731CAB" w:rsidRDefault="00A355C2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mật</w:t>
      </w:r>
      <w:proofErr w:type="spellEnd"/>
    </w:p>
    <w:p w14:paraId="4A269F9D" w14:textId="77777777" w:rsidR="0057053B" w:rsidRPr="00731CAB" w:rsidRDefault="00A355C2" w:rsidP="006C4145">
      <w:pPr>
        <w:pStyle w:val="ListParagraph"/>
        <w:numPr>
          <w:ilvl w:val="1"/>
          <w:numId w:val="3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</w:t>
      </w:r>
      <w:r w:rsidR="0057053B" w:rsidRPr="00731CAB">
        <w:rPr>
          <w:rFonts w:ascii="Times New Roman" w:hAnsi="Times New Roman" w:cs="Times New Roman"/>
          <w:sz w:val="24"/>
          <w:szCs w:val="24"/>
        </w:rPr>
        <w:t>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bi</w:t>
      </w:r>
      <w:r w:rsidR="0057053B" w:rsidRPr="00731CAB">
        <w:rPr>
          <w:rFonts w:ascii="Times New Roman" w:hAnsi="Times New Roman" w:cs="Times New Roman"/>
          <w:sz w:val="24"/>
          <w:szCs w:val="24"/>
        </w:rPr>
        <w:t>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</w:t>
      </w:r>
      <w:r w:rsidR="0057053B" w:rsidRPr="00731CAB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53B" w:rsidRPr="00731CA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053B" w:rsidRPr="00731CAB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kia, </w:t>
      </w:r>
      <w:proofErr w:type="spellStart"/>
      <w:r w:rsidR="0057053B" w:rsidRPr="00731CA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53B" w:rsidRPr="00731CA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”)</w:t>
      </w:r>
      <w:r w:rsidR="0057053B" w:rsidRPr="00731CAB">
        <w:rPr>
          <w:rFonts w:ascii="Times New Roman" w:hAnsi="Times New Roman" w:cs="Times New Roman"/>
          <w:sz w:val="24"/>
          <w:szCs w:val="24"/>
        </w:rPr>
        <w:t>.</w:t>
      </w:r>
    </w:p>
    <w:p w14:paraId="2E41D819" w14:textId="77777777" w:rsidR="0057053B" w:rsidRPr="00731CAB" w:rsidRDefault="00A355C2" w:rsidP="006C4145">
      <w:pPr>
        <w:pStyle w:val="ListParagraph"/>
        <w:numPr>
          <w:ilvl w:val="1"/>
          <w:numId w:val="3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53B"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53B"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tin</w:t>
      </w:r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53B"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53B"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53B" w:rsidRPr="00731CAB">
        <w:rPr>
          <w:rFonts w:ascii="Times New Roman" w:hAnsi="Times New Roman" w:cs="Times New Roman"/>
          <w:sz w:val="24"/>
          <w:szCs w:val="24"/>
        </w:rPr>
        <w:t>trự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phé</w:t>
      </w:r>
      <w:r w:rsidR="0057053B" w:rsidRPr="00731CAB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53B"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53B"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:</w:t>
      </w:r>
    </w:p>
    <w:p w14:paraId="33546105" w14:textId="77777777" w:rsidR="0057053B" w:rsidRPr="00731CAB" w:rsidRDefault="00A355C2" w:rsidP="006C4145">
      <w:pPr>
        <w:pStyle w:val="ListParagraph"/>
        <w:numPr>
          <w:ilvl w:val="2"/>
          <w:numId w:val="30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rãi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</w:t>
      </w:r>
      <w:r w:rsidR="0057053B" w:rsidRPr="00731CAB">
        <w:rPr>
          <w:rFonts w:ascii="Times New Roman" w:hAnsi="Times New Roman" w:cs="Times New Roman"/>
          <w:sz w:val="24"/>
          <w:szCs w:val="24"/>
        </w:rPr>
        <w:t>iếp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159EC78A" w14:textId="77777777" w:rsidR="0057053B" w:rsidRPr="00731CAB" w:rsidRDefault="00A355C2" w:rsidP="006C4145">
      <w:pPr>
        <w:pStyle w:val="ListParagraph"/>
        <w:numPr>
          <w:ilvl w:val="2"/>
          <w:numId w:val="30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A249DBB" w14:textId="77777777" w:rsidR="0057053B" w:rsidRPr="00731CAB" w:rsidRDefault="00A355C2" w:rsidP="006C4145">
      <w:pPr>
        <w:pStyle w:val="ListParagraph"/>
        <w:numPr>
          <w:ilvl w:val="2"/>
          <w:numId w:val="30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A0EA3F0" w14:textId="77777777" w:rsidR="0057053B" w:rsidRPr="00731CAB" w:rsidRDefault="00A355C2" w:rsidP="006C4145">
      <w:pPr>
        <w:pStyle w:val="ListParagraph"/>
        <w:numPr>
          <w:ilvl w:val="1"/>
          <w:numId w:val="3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tùy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sớm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chép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78F48CBF" w14:textId="77777777" w:rsidR="0057053B" w:rsidRPr="00731CAB" w:rsidRDefault="00A355C2" w:rsidP="006C4145">
      <w:pPr>
        <w:pStyle w:val="ListParagraph"/>
        <w:numPr>
          <w:ilvl w:val="1"/>
          <w:numId w:val="3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 xml:space="preserve">Cam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35C2C68F" w14:textId="78599D8C" w:rsidR="00A355C2" w:rsidRPr="00731CAB" w:rsidRDefault="00A355C2" w:rsidP="006C4145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Bổ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sung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:</w:t>
      </w:r>
      <w:r w:rsidR="0057053B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</w:p>
    <w:p w14:paraId="005BD505" w14:textId="77777777" w:rsidR="0057053B" w:rsidRPr="00731CAB" w:rsidRDefault="00DF0F59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chấp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phê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chu</w:t>
      </w:r>
      <w:r w:rsidR="0057053B" w:rsidRPr="00731CAB">
        <w:rPr>
          <w:rFonts w:ascii="Times New Roman" w:hAnsi="Times New Roman" w:cs="Times New Roman"/>
          <w:b/>
          <w:bCs/>
          <w:sz w:val="24"/>
          <w:szCs w:val="24"/>
        </w:rPr>
        <w:t>ẩn</w:t>
      </w:r>
      <w:proofErr w:type="spellEnd"/>
    </w:p>
    <w:p w14:paraId="51FE1ED8" w14:textId="7344A25B" w:rsidR="0057053B" w:rsidRPr="00731CAB" w:rsidRDefault="00DF0F59" w:rsidP="006C4145">
      <w:pPr>
        <w:pStyle w:val="ListParagraph"/>
        <w:numPr>
          <w:ilvl w:val="1"/>
          <w:numId w:val="3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i/>
          <w:iCs/>
          <w:color w:val="ED7D31" w:themeColor="accent2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lastRenderedPageBreak/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</w:t>
      </w:r>
      <w:r w:rsidR="0057053B" w:rsidRPr="00731CAB">
        <w:rPr>
          <w:rFonts w:ascii="Times New Roman" w:hAnsi="Times New Roman" w:cs="Times New Roman"/>
          <w:sz w:val="24"/>
          <w:szCs w:val="24"/>
        </w:rPr>
        <w:t>ộc</w:t>
      </w:r>
      <w:proofErr w:type="spellEnd"/>
      <w:r w:rsidR="0057053B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loại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chấp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phê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chuẩn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cần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thiết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yêu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cầu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ví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cơ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quản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cơ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chính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phủ</w:t>
      </w:r>
      <w:proofErr w:type="spellEnd"/>
      <w:r w:rsidR="0057053B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</w:t>
      </w:r>
    </w:p>
    <w:p w14:paraId="6A4CF736" w14:textId="06144094" w:rsidR="00DF0F59" w:rsidRPr="00731CAB" w:rsidRDefault="00DF0F59" w:rsidP="006C4145">
      <w:pPr>
        <w:pStyle w:val="ListParagraph"/>
        <w:numPr>
          <w:ilvl w:val="1"/>
          <w:numId w:val="3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tức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25B4B48D" w14:textId="2171548F" w:rsidR="00DF0F59" w:rsidRPr="00731CAB" w:rsidRDefault="00DF0F59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Thủ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tục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tranh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chấp</w:t>
      </w:r>
      <w:proofErr w:type="spellEnd"/>
    </w:p>
    <w:p w14:paraId="5EE52A41" w14:textId="2DA95E2D" w:rsidR="006C4145" w:rsidRPr="006C4145" w:rsidRDefault="006C4145" w:rsidP="006C4145">
      <w:pPr>
        <w:pStyle w:val="ListParagraph"/>
        <w:numPr>
          <w:ilvl w:val="1"/>
          <w:numId w:val="3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5827789"/>
      <w:bookmarkStart w:id="1" w:name="_Hlk72396466"/>
      <w:proofErr w:type="spellStart"/>
      <w:r w:rsidRPr="006C4145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gắng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nhắc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tòa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6C414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4145">
        <w:rPr>
          <w:rFonts w:ascii="Times New Roman" w:hAnsi="Times New Roman" w:cs="Times New Roman"/>
          <w:sz w:val="24"/>
          <w:szCs w:val="24"/>
        </w:rPr>
        <w:t>.</w:t>
      </w:r>
    </w:p>
    <w:p w14:paraId="1892F4F4" w14:textId="77777777" w:rsidR="006C4145" w:rsidRPr="000D1D1A" w:rsidRDefault="006C4145" w:rsidP="006C4145">
      <w:pPr>
        <w:pStyle w:val="ListParagraph"/>
        <w:numPr>
          <w:ilvl w:val="1"/>
          <w:numId w:val="3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1D1A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mâu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thuẫn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Nam (VIAC)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viên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duy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viên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0D1D1A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  <w:r w:rsidRPr="000D1D1A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Ngôn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14:paraId="7D0EC40A" w14:textId="36C45FD3" w:rsidR="00DF0F59" w:rsidRPr="00731CAB" w:rsidRDefault="00DF0F59" w:rsidP="006C4145">
      <w:pPr>
        <w:pStyle w:val="ListParagraph"/>
        <w:numPr>
          <w:ilvl w:val="0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Luật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áp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dụng</w:t>
      </w:r>
      <w:proofErr w:type="spellEnd"/>
    </w:p>
    <w:p w14:paraId="4A8576E2" w14:textId="77777777" w:rsidR="0057053B" w:rsidRPr="00731CAB" w:rsidRDefault="0057053B" w:rsidP="006C4145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</w:t>
      </w:r>
      <w:r w:rsidR="00DF0F5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êu</w:t>
      </w:r>
      <w:proofErr w:type="spellEnd"/>
      <w:r w:rsidR="00DF0F5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DF0F5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cụ</w:t>
      </w:r>
      <w:proofErr w:type="spellEnd"/>
      <w:r w:rsidR="00DF0F5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DF0F5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thể</w:t>
      </w:r>
      <w:proofErr w:type="spellEnd"/>
      <w:r w:rsidR="00DF0F5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DF0F5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luật</w:t>
      </w:r>
      <w:proofErr w:type="spellEnd"/>
      <w:r w:rsidR="00DF0F5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DF0F5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quốc</w:t>
      </w:r>
      <w:proofErr w:type="spellEnd"/>
      <w:r w:rsidR="00DF0F5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="00DF0F5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</w:t>
      </w:r>
      <w:proofErr w:type="spellEnd"/>
      <w:r w:rsidR="00DF0F59"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="00DF0F59"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="00DF0F59"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DF0F59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F59" w:rsidRPr="00731CA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="00DF0F59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F59" w:rsidRPr="00731CA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DF0F59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F59"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DF0F59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F59"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DF0F59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F59"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DF0F59"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F59"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DF0F59" w:rsidRPr="00731C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16A17B" w14:textId="77777777" w:rsidR="003971CF" w:rsidRDefault="0057053B" w:rsidP="006C4145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Bổ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sung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quan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:]</w:t>
      </w:r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Âu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EC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1986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2965EF" w14:textId="656FF917" w:rsidR="000F0171" w:rsidRPr="00E34CFF" w:rsidRDefault="000F0171" w:rsidP="006C4145">
      <w:pPr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CF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Nguồn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trích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dẫn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mẫu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nhỏ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Hướng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dẫn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quốc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Tiếng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Anh: Model contracts for small firms – Legal guidance for doing international business),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Quốc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(ITC),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dịch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WTO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Hội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nhập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Phòng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Việt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Nam (VCCI) </w:t>
      </w:r>
    </w:p>
    <w:p w14:paraId="2163E088" w14:textId="73386E9E" w:rsidR="000F0171" w:rsidRPr="00731CAB" w:rsidRDefault="000F0171" w:rsidP="006C414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  <w:sectPr w:rsidR="000F0171" w:rsidRPr="00731CAB" w:rsidSect="006C4145">
          <w:type w:val="continuous"/>
          <w:pgSz w:w="11906" w:h="16838" w:code="9"/>
          <w:pgMar w:top="1440" w:right="1440" w:bottom="1440" w:left="1440" w:header="720" w:footer="555" w:gutter="0"/>
          <w:cols w:space="720"/>
          <w:docGrid w:linePitch="360"/>
        </w:sectPr>
      </w:pPr>
    </w:p>
    <w:p w14:paraId="5FC21D1A" w14:textId="77777777" w:rsidR="006C4145" w:rsidRDefault="006C41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5BF0934" w14:textId="7E2EAD7A" w:rsidR="00DF0F59" w:rsidRPr="00731CAB" w:rsidRDefault="003971CF" w:rsidP="006C4145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lastRenderedPageBreak/>
        <w:t>Phụ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lục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1: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lượng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đặt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tối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thiểu</w:t>
      </w:r>
      <w:proofErr w:type="spellEnd"/>
    </w:p>
    <w:p w14:paraId="6F705526" w14:textId="20A66F3F" w:rsidR="002521E4" w:rsidRPr="00731CAB" w:rsidRDefault="002521E4" w:rsidP="006C4145">
      <w:pPr>
        <w:pStyle w:val="ListParagraph"/>
        <w:spacing w:after="12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4.1)</w:t>
      </w:r>
    </w:p>
    <w:p w14:paraId="0FBECAE9" w14:textId="7760CCB9" w:rsidR="002521E4" w:rsidRPr="00731CAB" w:rsidRDefault="002521E4" w:rsidP="006C4145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Phụ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lục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Hội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chợ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triển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lãm</w:t>
      </w:r>
      <w:proofErr w:type="spellEnd"/>
    </w:p>
    <w:p w14:paraId="579ABF87" w14:textId="389FFDBA" w:rsidR="002521E4" w:rsidRPr="00731CAB" w:rsidRDefault="002521E4" w:rsidP="006C4145">
      <w:pPr>
        <w:pStyle w:val="ListParagraph"/>
        <w:spacing w:after="12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5.2)</w:t>
      </w:r>
    </w:p>
    <w:p w14:paraId="400659E8" w14:textId="13C1270C" w:rsidR="002521E4" w:rsidRPr="00731CAB" w:rsidRDefault="002521E4" w:rsidP="006C4145">
      <w:pPr>
        <w:pStyle w:val="ListParagraph"/>
        <w:spacing w:after="12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lãm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085"/>
        <w:gridCol w:w="4085"/>
      </w:tblGrid>
      <w:tr w:rsidR="002521E4" w:rsidRPr="00731CAB" w14:paraId="57946827" w14:textId="77777777" w:rsidTr="002521E4">
        <w:trPr>
          <w:trHeight w:val="673"/>
        </w:trPr>
        <w:tc>
          <w:tcPr>
            <w:tcW w:w="4252" w:type="dxa"/>
            <w:vAlign w:val="center"/>
          </w:tcPr>
          <w:p w14:paraId="7508A705" w14:textId="2642980C" w:rsidR="002521E4" w:rsidRPr="00731CAB" w:rsidRDefault="002521E4" w:rsidP="006C4145">
            <w:pPr>
              <w:pStyle w:val="ListParagraph"/>
              <w:spacing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diện</w:t>
            </w:r>
            <w:proofErr w:type="spellEnd"/>
          </w:p>
        </w:tc>
        <w:tc>
          <w:tcPr>
            <w:tcW w:w="4252" w:type="dxa"/>
            <w:vAlign w:val="center"/>
          </w:tcPr>
          <w:p w14:paraId="67FC5D4E" w14:textId="33CC0A01" w:rsidR="002521E4" w:rsidRPr="00731CAB" w:rsidRDefault="002521E4" w:rsidP="006C4145">
            <w:pPr>
              <w:pStyle w:val="ListParagraph"/>
              <w:spacing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giao</w:t>
            </w:r>
            <w:proofErr w:type="spellEnd"/>
            <w:r w:rsidRPr="0073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diện</w:t>
            </w:r>
            <w:proofErr w:type="spellEnd"/>
          </w:p>
        </w:tc>
      </w:tr>
      <w:tr w:rsidR="002521E4" w:rsidRPr="00731CAB" w14:paraId="329CBC54" w14:textId="77777777" w:rsidTr="002521E4">
        <w:tc>
          <w:tcPr>
            <w:tcW w:w="4252" w:type="dxa"/>
          </w:tcPr>
          <w:p w14:paraId="736C92CE" w14:textId="77777777" w:rsidR="002521E4" w:rsidRPr="00731CAB" w:rsidRDefault="002521E4" w:rsidP="006C4145">
            <w:pPr>
              <w:pStyle w:val="ListParagraph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748E598" w14:textId="77777777" w:rsidR="002521E4" w:rsidRPr="00731CAB" w:rsidRDefault="002521E4" w:rsidP="006C4145">
            <w:pPr>
              <w:pStyle w:val="ListParagraph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1E4" w:rsidRPr="00731CAB" w14:paraId="71433317" w14:textId="77777777" w:rsidTr="002521E4">
        <w:tc>
          <w:tcPr>
            <w:tcW w:w="4252" w:type="dxa"/>
          </w:tcPr>
          <w:p w14:paraId="41F1C0A0" w14:textId="77777777" w:rsidR="002521E4" w:rsidRPr="00731CAB" w:rsidRDefault="002521E4" w:rsidP="006C4145">
            <w:pPr>
              <w:pStyle w:val="ListParagraph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277995B" w14:textId="77777777" w:rsidR="002521E4" w:rsidRPr="00731CAB" w:rsidRDefault="002521E4" w:rsidP="006C4145">
            <w:pPr>
              <w:pStyle w:val="ListParagraph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1E4" w:rsidRPr="00731CAB" w14:paraId="0CA8C293" w14:textId="77777777" w:rsidTr="002521E4">
        <w:tc>
          <w:tcPr>
            <w:tcW w:w="4252" w:type="dxa"/>
          </w:tcPr>
          <w:p w14:paraId="3A0BDD16" w14:textId="77777777" w:rsidR="002521E4" w:rsidRPr="00731CAB" w:rsidRDefault="002521E4" w:rsidP="006C4145">
            <w:pPr>
              <w:pStyle w:val="ListParagraph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42D65D6" w14:textId="77777777" w:rsidR="002521E4" w:rsidRPr="00731CAB" w:rsidRDefault="002521E4" w:rsidP="006C4145">
            <w:pPr>
              <w:pStyle w:val="ListParagraph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1E4" w:rsidRPr="00731CAB" w14:paraId="3F4B5D18" w14:textId="77777777" w:rsidTr="002521E4">
        <w:tc>
          <w:tcPr>
            <w:tcW w:w="4252" w:type="dxa"/>
          </w:tcPr>
          <w:p w14:paraId="413D3062" w14:textId="77777777" w:rsidR="002521E4" w:rsidRPr="00731CAB" w:rsidRDefault="002521E4" w:rsidP="006C4145">
            <w:pPr>
              <w:pStyle w:val="ListParagraph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75F52B" w14:textId="77777777" w:rsidR="002521E4" w:rsidRPr="00731CAB" w:rsidRDefault="002521E4" w:rsidP="006C4145">
            <w:pPr>
              <w:pStyle w:val="ListParagraph"/>
              <w:spacing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591361" w14:textId="4BC47F26" w:rsidR="002521E4" w:rsidRPr="00731CAB" w:rsidRDefault="002521E4" w:rsidP="006C4145">
      <w:pPr>
        <w:pStyle w:val="ListParagraph"/>
        <w:spacing w:after="120" w:line="276" w:lineRule="auto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4EB995" w14:textId="43B6C3CC" w:rsidR="002521E4" w:rsidRPr="00731CAB" w:rsidRDefault="002521E4" w:rsidP="006C4145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Phụ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lục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3: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Danh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sách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(hay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cạnh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tranh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giới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thiệu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xuất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phân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phối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diện</w:t>
      </w:r>
      <w:proofErr w:type="spellEnd"/>
    </w:p>
    <w:p w14:paraId="558246D8" w14:textId="79B80ED6" w:rsidR="002521E4" w:rsidRPr="00731CAB" w:rsidRDefault="002521E4" w:rsidP="006C4145">
      <w:pPr>
        <w:pStyle w:val="ListParagraph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7.4)</w:t>
      </w:r>
    </w:p>
    <w:p w14:paraId="1573D690" w14:textId="21DBE056" w:rsidR="002521E4" w:rsidRPr="00731CAB" w:rsidRDefault="002521E4" w:rsidP="006C41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:</w:t>
      </w:r>
    </w:p>
    <w:p w14:paraId="0B3A0901" w14:textId="1BA05E07" w:rsidR="002521E4" w:rsidRPr="00731CAB" w:rsidRDefault="002521E4" w:rsidP="006C41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505A01">
        <w:rPr>
          <w:rFonts w:ascii="Times New Roman" w:hAnsi="Times New Roman" w:cs="Times New Roman"/>
          <w:sz w:val="24"/>
          <w:szCs w:val="24"/>
        </w:rPr>
        <w:t>………………</w:t>
      </w:r>
    </w:p>
    <w:p w14:paraId="318BFCE3" w14:textId="48E851CA" w:rsidR="002521E4" w:rsidRPr="00731CAB" w:rsidRDefault="002521E4" w:rsidP="006C41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505A01">
        <w:rPr>
          <w:rFonts w:ascii="Times New Roman" w:hAnsi="Times New Roman" w:cs="Times New Roman"/>
          <w:sz w:val="24"/>
          <w:szCs w:val="24"/>
        </w:rPr>
        <w:t>………………</w:t>
      </w:r>
    </w:p>
    <w:p w14:paraId="6D60C6E8" w14:textId="02D0E061" w:rsidR="002521E4" w:rsidRPr="00731CAB" w:rsidRDefault="002521E4" w:rsidP="006C41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505A01">
        <w:rPr>
          <w:rFonts w:ascii="Times New Roman" w:hAnsi="Times New Roman" w:cs="Times New Roman"/>
          <w:sz w:val="24"/>
          <w:szCs w:val="24"/>
        </w:rPr>
        <w:t>………………</w:t>
      </w:r>
    </w:p>
    <w:p w14:paraId="5CA1478B" w14:textId="0D4CD85B" w:rsidR="002521E4" w:rsidRPr="00731CAB" w:rsidRDefault="002521E4" w:rsidP="006C41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505A01">
        <w:rPr>
          <w:rFonts w:ascii="Times New Roman" w:hAnsi="Times New Roman" w:cs="Times New Roman"/>
          <w:sz w:val="24"/>
          <w:szCs w:val="24"/>
        </w:rPr>
        <w:t>………………</w:t>
      </w:r>
    </w:p>
    <w:p w14:paraId="03FD1400" w14:textId="3643A86E" w:rsidR="002521E4" w:rsidRPr="00731CAB" w:rsidRDefault="002521E4" w:rsidP="006C4145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ab/>
      </w:r>
    </w:p>
    <w:p w14:paraId="320DB028" w14:textId="107943D5" w:rsidR="002521E4" w:rsidRPr="00731CAB" w:rsidRDefault="002521E4" w:rsidP="006C4145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Phụ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lục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4: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B0716B" w14:textId="64AD8F64" w:rsidR="002521E4" w:rsidRPr="00731CAB" w:rsidRDefault="002521E4" w:rsidP="006C41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11.1)</w:t>
      </w:r>
    </w:p>
    <w:p w14:paraId="197B2F48" w14:textId="38943E74" w:rsidR="002521E4" w:rsidRPr="00731CAB" w:rsidRDefault="002521E4" w:rsidP="006C4145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Phụ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lục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5: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Đảm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Thanh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Lựa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b/>
          <w:bCs/>
          <w:sz w:val="24"/>
          <w:szCs w:val="24"/>
        </w:rPr>
        <w:t>chọn</w:t>
      </w:r>
      <w:proofErr w:type="spellEnd"/>
      <w:r w:rsidRPr="00731C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415558A" w14:textId="77777777" w:rsidR="00201819" w:rsidRPr="00731CAB" w:rsidRDefault="00201819" w:rsidP="006C41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C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13.1)</w:t>
      </w:r>
    </w:p>
    <w:p w14:paraId="708DE37B" w14:textId="77777777" w:rsidR="00201819" w:rsidRPr="00731CAB" w:rsidRDefault="00201819" w:rsidP="006C41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Thanh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:</w:t>
      </w:r>
    </w:p>
    <w:p w14:paraId="04030201" w14:textId="2FAB983E" w:rsidR="00201819" w:rsidRPr="00731CAB" w:rsidRDefault="00201819" w:rsidP="006C4145">
      <w:pPr>
        <w:pStyle w:val="ListParagraph"/>
        <w:numPr>
          <w:ilvl w:val="0"/>
          <w:numId w:val="3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:</w:t>
      </w:r>
    </w:p>
    <w:p w14:paraId="02708A54" w14:textId="77777777" w:rsidR="00201819" w:rsidRPr="00731CAB" w:rsidRDefault="00201819" w:rsidP="006C4145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1: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cứ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nào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xúc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tiến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bởi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diện</w:t>
      </w:r>
      <w:proofErr w:type="spellEnd"/>
    </w:p>
    <w:p w14:paraId="31F23BB5" w14:textId="77777777" w:rsidR="00201819" w:rsidRPr="00731CAB" w:rsidRDefault="00201819" w:rsidP="006C4145">
      <w:pPr>
        <w:spacing w:after="120" w:line="276" w:lineRule="auto"/>
        <w:ind w:left="108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2: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Chỉ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những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trong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trách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nhiệm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Đảm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Thanh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thống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nhất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theo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từng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cụ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việc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</w:t>
      </w:r>
    </w:p>
    <w:p w14:paraId="28D8D393" w14:textId="058D6CBA" w:rsidR="00201819" w:rsidRPr="00731CAB" w:rsidRDefault="00201819" w:rsidP="006C4145">
      <w:pPr>
        <w:pStyle w:val="ListParagraph"/>
        <w:numPr>
          <w:ilvl w:val="0"/>
          <w:numId w:val="3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lastRenderedPageBreak/>
        <w:t>Trong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:</w:t>
      </w:r>
    </w:p>
    <w:p w14:paraId="76AA5B91" w14:textId="77777777" w:rsidR="00201819" w:rsidRPr="00731CAB" w:rsidRDefault="00201819" w:rsidP="006C4145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1: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Toàn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bộ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chưa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</w:p>
    <w:p w14:paraId="0770BA9D" w14:textId="681F133D" w:rsidR="00201819" w:rsidRPr="00731CAB" w:rsidRDefault="00201819" w:rsidP="006C4145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2: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.............% 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rõ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]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tổng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chưa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thanh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toán</w:t>
      </w:r>
      <w:proofErr w:type="spellEnd"/>
    </w:p>
    <w:p w14:paraId="69ABEEED" w14:textId="77777777" w:rsidR="00201819" w:rsidRPr="00731CAB" w:rsidRDefault="00201819" w:rsidP="006C4145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3: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trả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cho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đó</w:t>
      </w:r>
      <w:proofErr w:type="spellEnd"/>
    </w:p>
    <w:p w14:paraId="08A6CBCB" w14:textId="77777777" w:rsidR="00201819" w:rsidRPr="00731CAB" w:rsidRDefault="00201819" w:rsidP="006C4145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Phương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4: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nhiều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hơn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............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lần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rõ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nhận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được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từ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.]</w:t>
      </w:r>
    </w:p>
    <w:p w14:paraId="0BF3E88D" w14:textId="77777777" w:rsidR="00201819" w:rsidRPr="00731CAB" w:rsidRDefault="00201819" w:rsidP="006C4145">
      <w:pPr>
        <w:pStyle w:val="ListParagraph"/>
        <w:numPr>
          <w:ilvl w:val="0"/>
          <w:numId w:val="3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Thanh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2D4506AA" w14:textId="77777777" w:rsidR="00201819" w:rsidRPr="00731CAB" w:rsidRDefault="00201819" w:rsidP="006C4145">
      <w:pPr>
        <w:pStyle w:val="ListParagraph"/>
        <w:numPr>
          <w:ilvl w:val="0"/>
          <w:numId w:val="3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sung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...........% </w:t>
      </w:r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[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nêu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rõ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số</w:t>
      </w:r>
      <w:proofErr w:type="spellEnd"/>
      <w:r w:rsidRPr="00731CA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]</w:t>
      </w:r>
      <w:r w:rsidRPr="00731CAB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Thanh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1EE06298" w14:textId="01F84A3F" w:rsidR="00201819" w:rsidRPr="00731CAB" w:rsidRDefault="00201819" w:rsidP="006C4145">
      <w:pPr>
        <w:pStyle w:val="ListParagraph"/>
        <w:numPr>
          <w:ilvl w:val="0"/>
          <w:numId w:val="32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Thanh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mát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CA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31CAB">
        <w:rPr>
          <w:rFonts w:ascii="Times New Roman" w:hAnsi="Times New Roman" w:cs="Times New Roman"/>
          <w:sz w:val="24"/>
          <w:szCs w:val="24"/>
        </w:rPr>
        <w:t>.</w:t>
      </w:r>
    </w:p>
    <w:p w14:paraId="4888157D" w14:textId="4F529C29" w:rsidR="00505A01" w:rsidRDefault="00505A01" w:rsidP="006C414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3DA018" w14:textId="77777777" w:rsidR="000B6F46" w:rsidRPr="00731CAB" w:rsidRDefault="000B6F46" w:rsidP="006C41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5F376" w14:textId="27AD3294" w:rsidR="00201819" w:rsidRPr="00505A01" w:rsidRDefault="000B6F46" w:rsidP="006C414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A01">
        <w:rPr>
          <w:rFonts w:ascii="Times New Roman" w:hAnsi="Times New Roman" w:cs="Times New Roman"/>
          <w:b/>
          <w:bCs/>
          <w:sz w:val="24"/>
          <w:szCs w:val="24"/>
        </w:rPr>
        <w:t>NGÀY VÀ CHỮ KÝ CỦA CÁC BÊN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18"/>
      </w:tblGrid>
      <w:tr w:rsidR="000B6F46" w:rsidRPr="00731CAB" w14:paraId="290FCF30" w14:textId="77777777" w:rsidTr="006A6332">
        <w:tc>
          <w:tcPr>
            <w:tcW w:w="4675" w:type="dxa"/>
          </w:tcPr>
          <w:p w14:paraId="50C48C25" w14:textId="11931D90" w:rsidR="000B6F46" w:rsidRPr="00731CAB" w:rsidRDefault="000B6F46" w:rsidP="006C414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</w:p>
        </w:tc>
        <w:tc>
          <w:tcPr>
            <w:tcW w:w="4675" w:type="dxa"/>
          </w:tcPr>
          <w:p w14:paraId="1F415969" w14:textId="53E1D762" w:rsidR="000B6F46" w:rsidRPr="00731CAB" w:rsidRDefault="000B6F46" w:rsidP="006C414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</w:p>
        </w:tc>
      </w:tr>
      <w:tr w:rsidR="000B6F46" w:rsidRPr="00731CAB" w14:paraId="492D774C" w14:textId="77777777" w:rsidTr="006A6332">
        <w:tc>
          <w:tcPr>
            <w:tcW w:w="4675" w:type="dxa"/>
          </w:tcPr>
          <w:p w14:paraId="5E8C2732" w14:textId="55EDBDFC" w:rsidR="000B6F46" w:rsidRPr="00731CAB" w:rsidRDefault="000B6F46" w:rsidP="006C414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</w:t>
            </w:r>
          </w:p>
        </w:tc>
        <w:tc>
          <w:tcPr>
            <w:tcW w:w="4675" w:type="dxa"/>
          </w:tcPr>
          <w:p w14:paraId="41C8A34C" w14:textId="113A915A" w:rsidR="000B6F46" w:rsidRPr="00731CAB" w:rsidRDefault="000B6F46" w:rsidP="006C414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</w:t>
            </w:r>
          </w:p>
        </w:tc>
      </w:tr>
      <w:tr w:rsidR="000B6F46" w:rsidRPr="00731CAB" w14:paraId="232741A1" w14:textId="77777777" w:rsidTr="006A6332">
        <w:trPr>
          <w:trHeight w:val="652"/>
        </w:trPr>
        <w:tc>
          <w:tcPr>
            <w:tcW w:w="4675" w:type="dxa"/>
          </w:tcPr>
          <w:p w14:paraId="70466C88" w14:textId="5DD5AA21" w:rsidR="000B6F46" w:rsidRPr="00731CAB" w:rsidRDefault="000B6F46" w:rsidP="006C414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proofErr w:type="gram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: .</w:t>
            </w:r>
            <w:proofErr w:type="gram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</w:t>
            </w:r>
          </w:p>
        </w:tc>
        <w:tc>
          <w:tcPr>
            <w:tcW w:w="4675" w:type="dxa"/>
          </w:tcPr>
          <w:p w14:paraId="58BE9A03" w14:textId="68EC8E0D" w:rsidR="000B6F46" w:rsidRPr="00731CAB" w:rsidRDefault="000B6F46" w:rsidP="006C414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</w:t>
            </w:r>
          </w:p>
        </w:tc>
      </w:tr>
      <w:tr w:rsidR="000B6F46" w:rsidRPr="00731CAB" w14:paraId="2C00AD8D" w14:textId="77777777" w:rsidTr="006A6332">
        <w:tc>
          <w:tcPr>
            <w:tcW w:w="4675" w:type="dxa"/>
          </w:tcPr>
          <w:p w14:paraId="340D7D7A" w14:textId="3A30D94D" w:rsidR="000B6F46" w:rsidRPr="00731CAB" w:rsidRDefault="000B6F46" w:rsidP="006C414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4675" w:type="dxa"/>
          </w:tcPr>
          <w:p w14:paraId="04938FCF" w14:textId="7F0D3596" w:rsidR="000B6F46" w:rsidRPr="00731CAB" w:rsidRDefault="000B6F46" w:rsidP="006C414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CAB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</w:p>
        </w:tc>
      </w:tr>
    </w:tbl>
    <w:p w14:paraId="192FE8DE" w14:textId="77777777" w:rsidR="00201819" w:rsidRPr="00731CAB" w:rsidRDefault="00201819" w:rsidP="006C414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3617A" w14:textId="77777777" w:rsidR="00C178AE" w:rsidRPr="00E34CFF" w:rsidRDefault="00C178AE" w:rsidP="006C4145">
      <w:pPr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CF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Nguồn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trích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dẫn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mẫu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nhỏ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Hướng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dẫn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quốc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Tiếng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Anh: Model contracts for small firms – Legal guidance for doing international business),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Quốc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(ITC),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dịch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WTO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Hội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nhập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Phòng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Việt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Nam (VCCI) </w:t>
      </w:r>
    </w:p>
    <w:p w14:paraId="2833AB8D" w14:textId="77777777" w:rsidR="00536994" w:rsidRPr="00731CAB" w:rsidRDefault="00536994" w:rsidP="006C4145">
      <w:pPr>
        <w:spacing w:after="120" w:line="276" w:lineRule="auto"/>
        <w:jc w:val="both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sectPr w:rsidR="00536994" w:rsidRPr="00731CAB" w:rsidSect="006C4145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6EFE" w14:textId="77777777" w:rsidR="001C37CD" w:rsidRDefault="001C37CD" w:rsidP="001F2886">
      <w:pPr>
        <w:spacing w:after="0" w:line="240" w:lineRule="auto"/>
      </w:pPr>
      <w:r>
        <w:separator/>
      </w:r>
    </w:p>
  </w:endnote>
  <w:endnote w:type="continuationSeparator" w:id="0">
    <w:p w14:paraId="48CE9EF5" w14:textId="77777777" w:rsidR="001C37CD" w:rsidRDefault="001C37CD" w:rsidP="001F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67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B9329" w14:textId="151474BA" w:rsidR="006C4145" w:rsidRDefault="006C4145" w:rsidP="006C41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93D1" w14:textId="77777777" w:rsidR="001C37CD" w:rsidRDefault="001C37CD" w:rsidP="001F2886">
      <w:pPr>
        <w:spacing w:after="0" w:line="240" w:lineRule="auto"/>
      </w:pPr>
      <w:r>
        <w:separator/>
      </w:r>
    </w:p>
  </w:footnote>
  <w:footnote w:type="continuationSeparator" w:id="0">
    <w:p w14:paraId="7E9541F2" w14:textId="77777777" w:rsidR="001C37CD" w:rsidRDefault="001C37CD" w:rsidP="001F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4A"/>
    <w:multiLevelType w:val="multilevel"/>
    <w:tmpl w:val="CFE65A80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86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" w15:restartNumberingAfterBreak="0">
    <w:nsid w:val="012A5C69"/>
    <w:multiLevelType w:val="multilevel"/>
    <w:tmpl w:val="CFE65A80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6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3CD08BF"/>
    <w:multiLevelType w:val="multilevel"/>
    <w:tmpl w:val="D58034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3" w15:restartNumberingAfterBreak="0">
    <w:nsid w:val="05ED7522"/>
    <w:multiLevelType w:val="hybridMultilevel"/>
    <w:tmpl w:val="C87A7A16"/>
    <w:lvl w:ilvl="0" w:tplc="9126CD00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11B3A"/>
    <w:multiLevelType w:val="multilevel"/>
    <w:tmpl w:val="883C0B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B045406"/>
    <w:multiLevelType w:val="hybridMultilevel"/>
    <w:tmpl w:val="8008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70F86"/>
    <w:multiLevelType w:val="multilevel"/>
    <w:tmpl w:val="C4B02980"/>
    <w:lvl w:ilvl="0">
      <w:start w:val="24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86" w:hanging="46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7" w15:restartNumberingAfterBreak="0">
    <w:nsid w:val="0F013BB5"/>
    <w:multiLevelType w:val="hybridMultilevel"/>
    <w:tmpl w:val="F9DAE944"/>
    <w:lvl w:ilvl="0" w:tplc="375A058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AF6998"/>
    <w:multiLevelType w:val="multilevel"/>
    <w:tmpl w:val="8434650A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B24D93"/>
    <w:multiLevelType w:val="multilevel"/>
    <w:tmpl w:val="1A941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842DAF"/>
    <w:multiLevelType w:val="hybridMultilevel"/>
    <w:tmpl w:val="820C8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45064"/>
    <w:multiLevelType w:val="hybridMultilevel"/>
    <w:tmpl w:val="ED9C0438"/>
    <w:lvl w:ilvl="0" w:tplc="7F345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D9179C7"/>
    <w:multiLevelType w:val="multilevel"/>
    <w:tmpl w:val="D58034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3" w15:restartNumberingAfterBreak="0">
    <w:nsid w:val="1F135656"/>
    <w:multiLevelType w:val="multilevel"/>
    <w:tmpl w:val="D58034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4" w15:restartNumberingAfterBreak="0">
    <w:nsid w:val="1FB6476B"/>
    <w:multiLevelType w:val="multilevel"/>
    <w:tmpl w:val="0A8E4426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51217A"/>
    <w:multiLevelType w:val="multilevel"/>
    <w:tmpl w:val="D58E36BE"/>
    <w:lvl w:ilvl="0">
      <w:start w:val="16"/>
      <w:numFmt w:val="decimal"/>
      <w:lvlText w:val="%1"/>
      <w:lvlJc w:val="left"/>
      <w:pPr>
        <w:ind w:left="460" w:hanging="460"/>
      </w:pPr>
      <w:rPr>
        <w:rFonts w:hint="default"/>
        <w:b w:val="0"/>
        <w:i/>
      </w:rPr>
    </w:lvl>
    <w:lvl w:ilvl="1">
      <w:start w:val="1"/>
      <w:numFmt w:val="decimal"/>
      <w:lvlText w:val="%1.%2"/>
      <w:lvlJc w:val="left"/>
      <w:pPr>
        <w:ind w:left="886" w:hanging="460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  <w:i/>
      </w:rPr>
    </w:lvl>
  </w:abstractNum>
  <w:abstractNum w:abstractNumId="16" w15:restartNumberingAfterBreak="0">
    <w:nsid w:val="24EB0B03"/>
    <w:multiLevelType w:val="multilevel"/>
    <w:tmpl w:val="6904202C"/>
    <w:lvl w:ilvl="0">
      <w:start w:val="15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6959E8"/>
    <w:multiLevelType w:val="multilevel"/>
    <w:tmpl w:val="A14C4D54"/>
    <w:lvl w:ilvl="0">
      <w:start w:val="2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4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 w15:restartNumberingAfterBreak="0">
    <w:nsid w:val="2652605B"/>
    <w:multiLevelType w:val="multilevel"/>
    <w:tmpl w:val="816EF930"/>
    <w:lvl w:ilvl="0">
      <w:start w:val="17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E26FA9"/>
    <w:multiLevelType w:val="multilevel"/>
    <w:tmpl w:val="1A9417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EC7340"/>
    <w:multiLevelType w:val="hybridMultilevel"/>
    <w:tmpl w:val="D7B26AD4"/>
    <w:lvl w:ilvl="0" w:tplc="06068D44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0E61D91"/>
    <w:multiLevelType w:val="multilevel"/>
    <w:tmpl w:val="DB0ACB2E"/>
    <w:lvl w:ilvl="0">
      <w:start w:val="20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0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2" w15:restartNumberingAfterBreak="0">
    <w:nsid w:val="469342C1"/>
    <w:multiLevelType w:val="hybridMultilevel"/>
    <w:tmpl w:val="3A820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96D18"/>
    <w:multiLevelType w:val="multilevel"/>
    <w:tmpl w:val="2408C6B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4" w15:restartNumberingAfterBreak="0">
    <w:nsid w:val="558E6044"/>
    <w:multiLevelType w:val="multilevel"/>
    <w:tmpl w:val="CCDA5F5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DE45057"/>
    <w:multiLevelType w:val="multilevel"/>
    <w:tmpl w:val="D58034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26" w15:restartNumberingAfterBreak="0">
    <w:nsid w:val="6111047D"/>
    <w:multiLevelType w:val="hybridMultilevel"/>
    <w:tmpl w:val="DE6439CE"/>
    <w:lvl w:ilvl="0" w:tplc="0EFC531E">
      <w:start w:val="1"/>
      <w:numFmt w:val="decimal"/>
      <w:lvlText w:val="19.%1."/>
      <w:lvlJc w:val="left"/>
      <w:pPr>
        <w:ind w:left="1571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3237BD9"/>
    <w:multiLevelType w:val="multilevel"/>
    <w:tmpl w:val="107CA706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1C6431"/>
    <w:multiLevelType w:val="hybridMultilevel"/>
    <w:tmpl w:val="4AF4CECE"/>
    <w:lvl w:ilvl="0" w:tplc="479C7CE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4FB3E11"/>
    <w:multiLevelType w:val="hybridMultilevel"/>
    <w:tmpl w:val="4CB653B8"/>
    <w:lvl w:ilvl="0" w:tplc="10F04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0A25CF"/>
    <w:multiLevelType w:val="multilevel"/>
    <w:tmpl w:val="3B7C61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584579"/>
    <w:multiLevelType w:val="multilevel"/>
    <w:tmpl w:val="D5803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32" w15:restartNumberingAfterBreak="0">
    <w:nsid w:val="6C9E3A76"/>
    <w:multiLevelType w:val="multilevel"/>
    <w:tmpl w:val="0C3236E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D9587A"/>
    <w:multiLevelType w:val="multilevel"/>
    <w:tmpl w:val="B1FA5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482D43"/>
    <w:multiLevelType w:val="multilevel"/>
    <w:tmpl w:val="61AED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32A5EA2"/>
    <w:multiLevelType w:val="hybridMultilevel"/>
    <w:tmpl w:val="7690E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853FA"/>
    <w:multiLevelType w:val="hybridMultilevel"/>
    <w:tmpl w:val="DF2AFEB2"/>
    <w:lvl w:ilvl="0" w:tplc="375A058A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FB35AA1"/>
    <w:multiLevelType w:val="multilevel"/>
    <w:tmpl w:val="A63AB0DE"/>
    <w:lvl w:ilvl="0">
      <w:start w:val="2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4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6"/>
  </w:num>
  <w:num w:numId="4">
    <w:abstractNumId w:val="28"/>
  </w:num>
  <w:num w:numId="5">
    <w:abstractNumId w:val="33"/>
  </w:num>
  <w:num w:numId="6">
    <w:abstractNumId w:val="20"/>
  </w:num>
  <w:num w:numId="7">
    <w:abstractNumId w:val="9"/>
  </w:num>
  <w:num w:numId="8">
    <w:abstractNumId w:val="4"/>
  </w:num>
  <w:num w:numId="9">
    <w:abstractNumId w:val="19"/>
  </w:num>
  <w:num w:numId="10">
    <w:abstractNumId w:val="30"/>
  </w:num>
  <w:num w:numId="11">
    <w:abstractNumId w:val="22"/>
  </w:num>
  <w:num w:numId="12">
    <w:abstractNumId w:val="10"/>
  </w:num>
  <w:num w:numId="13">
    <w:abstractNumId w:val="25"/>
  </w:num>
  <w:num w:numId="14">
    <w:abstractNumId w:val="2"/>
  </w:num>
  <w:num w:numId="15">
    <w:abstractNumId w:val="12"/>
  </w:num>
  <w:num w:numId="16">
    <w:abstractNumId w:val="31"/>
  </w:num>
  <w:num w:numId="17">
    <w:abstractNumId w:val="13"/>
  </w:num>
  <w:num w:numId="18">
    <w:abstractNumId w:val="11"/>
  </w:num>
  <w:num w:numId="19">
    <w:abstractNumId w:val="1"/>
  </w:num>
  <w:num w:numId="20">
    <w:abstractNumId w:val="8"/>
  </w:num>
  <w:num w:numId="21">
    <w:abstractNumId w:val="14"/>
  </w:num>
  <w:num w:numId="22">
    <w:abstractNumId w:val="27"/>
  </w:num>
  <w:num w:numId="23">
    <w:abstractNumId w:val="16"/>
  </w:num>
  <w:num w:numId="24">
    <w:abstractNumId w:val="34"/>
  </w:num>
  <w:num w:numId="25">
    <w:abstractNumId w:val="15"/>
  </w:num>
  <w:num w:numId="26">
    <w:abstractNumId w:val="18"/>
  </w:num>
  <w:num w:numId="27">
    <w:abstractNumId w:val="0"/>
  </w:num>
  <w:num w:numId="28">
    <w:abstractNumId w:val="21"/>
  </w:num>
  <w:num w:numId="29">
    <w:abstractNumId w:val="37"/>
  </w:num>
  <w:num w:numId="30">
    <w:abstractNumId w:val="17"/>
  </w:num>
  <w:num w:numId="31">
    <w:abstractNumId w:val="6"/>
  </w:num>
  <w:num w:numId="32">
    <w:abstractNumId w:val="29"/>
  </w:num>
  <w:num w:numId="33">
    <w:abstractNumId w:val="35"/>
  </w:num>
  <w:num w:numId="34">
    <w:abstractNumId w:val="26"/>
  </w:num>
  <w:num w:numId="35">
    <w:abstractNumId w:val="23"/>
  </w:num>
  <w:num w:numId="36">
    <w:abstractNumId w:val="3"/>
  </w:num>
  <w:num w:numId="37">
    <w:abstractNumId w:val="32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20"/>
    <w:rsid w:val="000336A5"/>
    <w:rsid w:val="00067B69"/>
    <w:rsid w:val="000B6F46"/>
    <w:rsid w:val="000F0171"/>
    <w:rsid w:val="00150D3A"/>
    <w:rsid w:val="00161EDC"/>
    <w:rsid w:val="001A0036"/>
    <w:rsid w:val="001C37CD"/>
    <w:rsid w:val="001E13FC"/>
    <w:rsid w:val="001F2886"/>
    <w:rsid w:val="00201819"/>
    <w:rsid w:val="00242901"/>
    <w:rsid w:val="002521E4"/>
    <w:rsid w:val="002704B9"/>
    <w:rsid w:val="003971CF"/>
    <w:rsid w:val="00413D3F"/>
    <w:rsid w:val="004E7D5C"/>
    <w:rsid w:val="00505A01"/>
    <w:rsid w:val="00536994"/>
    <w:rsid w:val="00547244"/>
    <w:rsid w:val="0057053B"/>
    <w:rsid w:val="00611C67"/>
    <w:rsid w:val="006A6332"/>
    <w:rsid w:val="006C4145"/>
    <w:rsid w:val="00731CAB"/>
    <w:rsid w:val="007B3A25"/>
    <w:rsid w:val="007E7693"/>
    <w:rsid w:val="00823920"/>
    <w:rsid w:val="00884AB7"/>
    <w:rsid w:val="00962AC6"/>
    <w:rsid w:val="0099162D"/>
    <w:rsid w:val="00A13A28"/>
    <w:rsid w:val="00A355C2"/>
    <w:rsid w:val="00B80164"/>
    <w:rsid w:val="00C178AE"/>
    <w:rsid w:val="00C21D10"/>
    <w:rsid w:val="00C87260"/>
    <w:rsid w:val="00D31A6F"/>
    <w:rsid w:val="00DF0F59"/>
    <w:rsid w:val="00F27081"/>
    <w:rsid w:val="00F50022"/>
    <w:rsid w:val="00F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0F600F"/>
  <w15:chartTrackingRefBased/>
  <w15:docId w15:val="{BD08BC38-F0AF-43FB-960E-92559240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9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886"/>
  </w:style>
  <w:style w:type="paragraph" w:styleId="Footer">
    <w:name w:val="footer"/>
    <w:basedOn w:val="Normal"/>
    <w:link w:val="FooterChar"/>
    <w:uiPriority w:val="99"/>
    <w:unhideWhenUsed/>
    <w:rsid w:val="001F2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886"/>
  </w:style>
  <w:style w:type="table" w:styleId="TableGrid">
    <w:name w:val="Table Grid"/>
    <w:basedOn w:val="TableNormal"/>
    <w:uiPriority w:val="39"/>
    <w:rsid w:val="0025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21</Pages>
  <Words>6077</Words>
  <Characters>34645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Nguyen</dc:creator>
  <cp:keywords/>
  <dc:description/>
  <cp:lastModifiedBy>Thu Huong Pham</cp:lastModifiedBy>
  <cp:revision>21</cp:revision>
  <dcterms:created xsi:type="dcterms:W3CDTF">2021-03-12T06:57:00Z</dcterms:created>
  <dcterms:modified xsi:type="dcterms:W3CDTF">2021-05-20T03:06:00Z</dcterms:modified>
</cp:coreProperties>
</file>